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20" w:lineRule="exact"/>
        <w:jc w:val="left"/>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承德应用技术职业学院</w:t>
      </w:r>
    </w:p>
    <w:p>
      <w:pPr>
        <w:keepNext w:val="0"/>
        <w:keepLines w:val="0"/>
        <w:pageBreakBefore w:val="0"/>
        <w:widowControl w:val="0"/>
        <w:kinsoku/>
        <w:wordWrap/>
        <w:overflowPunct/>
        <w:topLinePunct w:val="0"/>
        <w:autoSpaceDE/>
        <w:autoSpaceDN/>
        <w:bidi w:val="0"/>
        <w:adjustRightInd/>
        <w:snapToGrid w:val="0"/>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学分认定和转换工作实施办法（试行）</w:t>
      </w:r>
    </w:p>
    <w:p>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center"/>
        <w:textAlignment w:val="auto"/>
        <w:rPr>
          <w:rFonts w:hint="eastAsia" w:ascii="华文细黑" w:hAnsi="华文细黑" w:eastAsia="华文细黑" w:cs="华文细黑"/>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为更好地落实</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立德树人”根本任务，进一步创新人才培养模式，提高人才培养的针对性，促进学生个性化发展和全面发展，满足多样化学习和个性化发展的需要，探索建立多种形式学习成果认定机制，规范学生课程学分置换及学分成绩认定工作，根据《承德应用技术职业学院学籍管理规定》和《承德应用技术职业学院学生综合素质考核管理办法》，特制定本办法。</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学分认定和转换，是指学生取得专业人才培养方案课程之外的，各种能够体现资历、资格和能力的成果后，由学生本人提出申请，按规定的程序认定，可以转换人才培养方案内相关课程学分。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本办法适应于具有我校正式学籍的学生。</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第二章 学分认定和转换范围</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学分认定和转换总体要求</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（一）可用于学分认定和转换的成果类型分为课程类、证书类、业绩类等三大类。</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（二）认定和转换的全部学分，不得超过所在专业毕业要求总学分的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0%，其中专业核心课程认定和转换学分不得超过专业核心课程总学分的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学分认定和转换范围</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（一）课程类</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1.校内课程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（1）符合所在专业人才培养方案要求的其它专业开设的课程，可认定和转换为本专业课程学分。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（2）其它专业开设的课程，满足名称相同或相近，教学目标和内容相关度达到 80%，可认定或转换本专业课程学分。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2.校外课程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可进行学分认定和转换的校外课程包括：</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认可的在线课程。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已加入的高校联盟开设的共享课程。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签订了学分互认协议或</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认可的国（境）内外高校开设的课程。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（4）已具有国民教育系列专科及以上学历者，或已参加国民教育系列专科及以上学历层次学习的学习者,进我校学习，其所学课程与现有课程名称相同或相近，教学目标相近，教学内容相关度在80%以上的课程。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（5）通过高等教育自学考试的课程，课程名称相同或相近，自学考试大纲内容和我校课程教学内容相关度 80%以上的课程。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（二）证书类</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证书类学分认定和转换主要包括国家职业资格证书、非国家职业资格证书以及培训证书。</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1.国家职业资格证书是指按照国家职业标准，通过政府认定的考核鉴定机构，对劳动者的技能水平和从业资格进行评价和认定的国家证书。</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2.非国家职业资格证书指技能等级证书、专项能力证书、政府认定的行业证书等。</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3.培训证书指由国家行政部门认定的有关职业技能、专业技术和岗位培训等方面证书。</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（三）业绩类</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业绩类成果主要指个人取得学术、职业或其他方面的成果，包括但不限于创新创业、科学研究、社会服务、文化传承、竞赛奖励等。具体包括：</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1.获得省级以上技能、专业竞赛、体育比赛等竞赛奖项。</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2.各级非物质文化遗产代表性项目代表传承人、技能大师和工匠大师，其所学专业与其专长相匹配的成果。</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3.科学研究（论文）、专利版权等体现专业能力的学习成果。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华文细黑" w:hAnsi="华文细黑" w:eastAsia="华文细黑" w:cs="华文细黑"/>
          <w:sz w:val="30"/>
          <w:szCs w:val="30"/>
        </w:rPr>
      </w:pPr>
      <w:r>
        <w:rPr>
          <w:rFonts w:hint="eastAsia" w:ascii="黑体" w:hAnsi="黑体" w:eastAsia="黑体" w:cs="黑体"/>
          <w:sz w:val="32"/>
          <w:szCs w:val="32"/>
        </w:rPr>
        <w:t>第三章 学分认定和转换标准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课程类认定和转换标准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认定和转换的课程学时、学分不低于被转换课程学时、学分要求，课程成绩按实际成绩记载。</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第七条 </w:t>
      </w:r>
      <w:r>
        <w:rPr>
          <w:rFonts w:hint="eastAsia" w:ascii="仿宋_GB2312" w:hAnsi="仿宋_GB2312" w:eastAsia="仿宋_GB2312" w:cs="仿宋_GB2312"/>
          <w:sz w:val="32"/>
          <w:szCs w:val="32"/>
        </w:rPr>
        <w:t>证书类学分认定和转换标准，见表 1。</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b/>
          <w:bCs/>
          <w:sz w:val="24"/>
          <w:szCs w:val="24"/>
        </w:rPr>
      </w:pPr>
      <w:r>
        <w:rPr>
          <w:rFonts w:hint="eastAsia"/>
          <w:b/>
          <w:bCs/>
          <w:sz w:val="24"/>
          <w:szCs w:val="24"/>
        </w:rPr>
        <w:t>表 1 证书类学分认定和转换标准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31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类</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别</w:t>
            </w:r>
          </w:p>
        </w:tc>
        <w:tc>
          <w:tcPr>
            <w:tcW w:w="2316"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认定和转换标准</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认定和转换要求</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成绩记载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国家职业资格</w:t>
            </w:r>
          </w:p>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证书</w:t>
            </w:r>
          </w:p>
        </w:tc>
        <w:tc>
          <w:tcPr>
            <w:tcW w:w="2316"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所获取的证书的考核内容与课程教学内容相关度达80%以上。</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每个证书只可认定和转换1门不超过4学分的专业课程学分。</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按实际成绩记载，如证书未登记成绩，按优秀或90 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非国家职业资格证书</w:t>
            </w:r>
          </w:p>
        </w:tc>
        <w:tc>
          <w:tcPr>
            <w:tcW w:w="2316"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所获取的证书的考核内容与课程教学内容相关度达80%以上。</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每个证书只可认定和转换1门不超过3学分的课程学分。</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按实际成绩记载，如证书未登记成绩</w:t>
            </w:r>
            <w:r>
              <w:rPr>
                <w:rFonts w:hint="eastAsia" w:asciiTheme="minorEastAsia" w:hAnsi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按良好或85 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培训证书</w:t>
            </w:r>
          </w:p>
        </w:tc>
        <w:tc>
          <w:tcPr>
            <w:tcW w:w="2316"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培养证书对应的培训内容相关度达80%以上。</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每个证书只可认定和转换为1门总学时不高于培训学时的课程学分。</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按实际成绩记载，如证书未登记成绩，按良好或85 分记载。</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业绩类成果学分认定和转换标准，见表 2。</w:t>
      </w:r>
    </w:p>
    <w:p>
      <w:pPr>
        <w:keepNext w:val="0"/>
        <w:keepLines w:val="0"/>
        <w:pageBreakBefore w:val="0"/>
        <w:widowControl w:val="0"/>
        <w:numPr>
          <w:ilvl w:val="0"/>
          <w:numId w:val="0"/>
        </w:numPr>
        <w:kinsoku/>
        <w:wordWrap/>
        <w:overflowPunct/>
        <w:topLinePunct w:val="0"/>
        <w:autoSpaceDE/>
        <w:autoSpaceDN/>
        <w:bidi w:val="0"/>
        <w:spacing w:line="560" w:lineRule="exact"/>
        <w:ind w:firstLine="481" w:firstLineChars="200"/>
        <w:jc w:val="center"/>
        <w:textAlignment w:val="auto"/>
        <w:rPr>
          <w:rFonts w:hint="eastAsia"/>
          <w:b/>
          <w:bCs/>
          <w:sz w:val="24"/>
          <w:szCs w:val="24"/>
        </w:rPr>
      </w:pPr>
      <w:r>
        <w:rPr>
          <w:rFonts w:hint="eastAsia"/>
          <w:b/>
          <w:bCs/>
          <w:sz w:val="24"/>
          <w:szCs w:val="24"/>
        </w:rPr>
        <w:t>表 2 业绩类学分认定和转换标准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24"/>
        <w:gridCol w:w="292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类</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别</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认定和转换标准</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认定和转换要求</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1" w:firstLineChars="200"/>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成绩记载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省级及以上技能、专业竞赛、体育比赛获奖</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根据竞赛的内容与相关专业的课程比较，内容相同或相近，同一赛项只可认定一次。</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在校修读期间参加由行政部门举办的高职组或高职以上学历组别的竞赛获奖可认定和转换1</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门专业课或体育课：国赛</w:t>
            </w:r>
            <w:r>
              <w:rPr>
                <w:rFonts w:hint="eastAsia" w:asciiTheme="minorEastAsia" w:hAnsiTheme="minorEastAsia" w:cstheme="minorEastAsia"/>
                <w:sz w:val="24"/>
                <w:szCs w:val="24"/>
                <w:vertAlign w:val="baseline"/>
                <w:lang w:val="en-US" w:eastAsia="zh-CN"/>
              </w:rPr>
              <w:t>二</w:t>
            </w:r>
            <w:r>
              <w:rPr>
                <w:rFonts w:hint="eastAsia" w:asciiTheme="minorEastAsia" w:hAnsiTheme="minorEastAsia" w:eastAsiaTheme="minorEastAsia" w:cstheme="minorEastAsia"/>
                <w:sz w:val="24"/>
                <w:szCs w:val="24"/>
                <w:vertAlign w:val="baseline"/>
              </w:rPr>
              <w:t>等奖</w:t>
            </w:r>
            <w:r>
              <w:rPr>
                <w:rFonts w:hint="eastAsia" w:asciiTheme="minorEastAsia" w:hAnsiTheme="minorEastAsia" w:cstheme="minorEastAsia"/>
                <w:sz w:val="24"/>
                <w:szCs w:val="24"/>
                <w:vertAlign w:val="baseline"/>
                <w:lang w:val="en-US" w:eastAsia="zh-CN"/>
              </w:rPr>
              <w:t>及以上</w:t>
            </w:r>
            <w:r>
              <w:rPr>
                <w:rFonts w:hint="eastAsia" w:asciiTheme="minorEastAsia" w:hAnsiTheme="minorEastAsia" w:eastAsiaTheme="minorEastAsia" w:cstheme="minorEastAsia"/>
                <w:sz w:val="24"/>
                <w:szCs w:val="24"/>
                <w:vertAlign w:val="baseline"/>
              </w:rPr>
              <w:t>学分不超过</w:t>
            </w:r>
            <w:r>
              <w:rPr>
                <w:rFonts w:hint="eastAsia" w:asciiTheme="minorEastAsia" w:hAnsi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学分；国赛</w:t>
            </w:r>
            <w:r>
              <w:rPr>
                <w:rFonts w:hint="eastAsia" w:asciiTheme="minorEastAsia" w:hAnsiTheme="minorEastAsia" w:cstheme="minorEastAsia"/>
                <w:sz w:val="24"/>
                <w:szCs w:val="24"/>
                <w:vertAlign w:val="baseline"/>
                <w:lang w:val="en-US" w:eastAsia="zh-CN"/>
              </w:rPr>
              <w:t>三</w:t>
            </w:r>
            <w:r>
              <w:rPr>
                <w:rFonts w:hint="eastAsia" w:asciiTheme="minorEastAsia" w:hAnsiTheme="minorEastAsia" w:eastAsiaTheme="minorEastAsia" w:cstheme="minorEastAsia"/>
                <w:sz w:val="24"/>
                <w:szCs w:val="24"/>
                <w:vertAlign w:val="baseline"/>
              </w:rPr>
              <w:t>等奖（省赛一等奖）学分不超过</w:t>
            </w:r>
            <w:r>
              <w:rPr>
                <w:rFonts w:hint="eastAsia" w:asciiTheme="minorEastAsia" w:hAnsi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学分；省赛</w:t>
            </w:r>
            <w:r>
              <w:rPr>
                <w:rFonts w:hint="eastAsia" w:asciiTheme="minorEastAsia" w:hAnsiTheme="minorEastAsia" w:cstheme="minorEastAsia"/>
                <w:sz w:val="24"/>
                <w:szCs w:val="24"/>
                <w:vertAlign w:val="baseline"/>
                <w:lang w:val="en-US" w:eastAsia="zh-CN"/>
              </w:rPr>
              <w:t>二</w:t>
            </w:r>
            <w:r>
              <w:rPr>
                <w:rFonts w:hint="eastAsia" w:asciiTheme="minorEastAsia" w:hAnsiTheme="minorEastAsia" w:eastAsiaTheme="minorEastAsia" w:cstheme="minorEastAsia"/>
                <w:sz w:val="24"/>
                <w:szCs w:val="24"/>
                <w:vertAlign w:val="baseline"/>
              </w:rPr>
              <w:t>等奖学分不超过</w:t>
            </w: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非物质文化遗产代表性项目传承人、技能大师和工匠大师的业绩成果</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与其所学专业相匹配，可认定学分。</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可认定和转换其所在专业的1门专业</w:t>
            </w:r>
            <w:r>
              <w:rPr>
                <w:rFonts w:hint="eastAsia" w:asciiTheme="minorEastAsia" w:hAnsiTheme="minorEastAsia" w:cstheme="minorEastAsia"/>
                <w:sz w:val="24"/>
                <w:szCs w:val="24"/>
                <w:vertAlign w:val="baseline"/>
                <w:lang w:val="en-US" w:eastAsia="zh-CN"/>
              </w:rPr>
              <w:t>实训（</w:t>
            </w:r>
            <w:r>
              <w:rPr>
                <w:rFonts w:hint="eastAsia" w:asciiTheme="minorEastAsia" w:hAnsiTheme="minorEastAsia" w:eastAsiaTheme="minorEastAsia" w:cstheme="minorEastAsia"/>
                <w:sz w:val="24"/>
                <w:szCs w:val="24"/>
                <w:vertAlign w:val="baseline"/>
              </w:rPr>
              <w:t>实践</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课程，不超过 4 学分</w:t>
            </w:r>
            <w:r>
              <w:rPr>
                <w:rFonts w:hint="eastAsia" w:asciiTheme="minorEastAsia" w:hAnsiTheme="minorEastAsia" w:eastAsiaTheme="minorEastAsia" w:cstheme="minorEastAsia"/>
                <w:sz w:val="24"/>
                <w:szCs w:val="24"/>
                <w:vertAlign w:val="baseline"/>
                <w:lang w:eastAsia="zh-CN"/>
              </w:rPr>
              <w:t>；</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论文发表</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发表的论文要与其所在专业相匹配。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在具有全国统一刊（CN 号）的一般学术刊物上发表学术论文（第一作者），可认定和转换</w:t>
            </w: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门专业课，不超过2学分；在核心期刊上发表学术论文的（第一作者），可认定和转换 1 门专业课，不超过4学分。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发明专利权</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取得的发明专利权要与其所在专业相匹配。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可认定和转换</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门专业课，不超过4学分。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实用新型专利权</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取得的实用新型专利权要与其所在专业相匹配。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可认定和转换1门专业课，不超过2学分。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取得设计外观专利权或软件著作权</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取得的设计外观专利权或软件著作权要与其所在专业相匹配。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可认定和转换1门专业课，不超过2学分。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创新创业项目</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创新创业项目与其所在专业匹配。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在校修读期间参加的创新创业项目获奖可认定和转换 1</w:t>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 xml:space="preserve"> 门专业课：国赛</w:t>
            </w:r>
            <w:r>
              <w:rPr>
                <w:rFonts w:hint="eastAsia" w:asciiTheme="minorEastAsia" w:hAnsiTheme="minorEastAsia" w:cstheme="minorEastAsia"/>
                <w:sz w:val="24"/>
                <w:szCs w:val="24"/>
                <w:vertAlign w:val="baseline"/>
                <w:lang w:val="en-US" w:eastAsia="zh-CN"/>
              </w:rPr>
              <w:t>二</w:t>
            </w:r>
            <w:r>
              <w:rPr>
                <w:rFonts w:hint="eastAsia" w:asciiTheme="minorEastAsia" w:hAnsiTheme="minorEastAsia" w:eastAsiaTheme="minorEastAsia" w:cstheme="minorEastAsia"/>
                <w:sz w:val="24"/>
                <w:szCs w:val="24"/>
                <w:vertAlign w:val="baseline"/>
              </w:rPr>
              <w:t>等奖</w:t>
            </w:r>
            <w:r>
              <w:rPr>
                <w:rFonts w:hint="eastAsia" w:asciiTheme="minorEastAsia" w:hAnsiTheme="minorEastAsia" w:cstheme="minorEastAsia"/>
                <w:sz w:val="24"/>
                <w:szCs w:val="24"/>
                <w:vertAlign w:val="baseline"/>
                <w:lang w:val="en-US" w:eastAsia="zh-CN"/>
              </w:rPr>
              <w:t>及以上</w:t>
            </w:r>
            <w:r>
              <w:rPr>
                <w:rFonts w:hint="eastAsia" w:asciiTheme="minorEastAsia" w:hAnsiTheme="minorEastAsia" w:eastAsiaTheme="minorEastAsia" w:cstheme="minorEastAsia"/>
                <w:sz w:val="24"/>
                <w:szCs w:val="24"/>
                <w:vertAlign w:val="baseline"/>
              </w:rPr>
              <w:t>学分不超过</w:t>
            </w:r>
            <w:r>
              <w:rPr>
                <w:rFonts w:hint="eastAsia" w:asciiTheme="minorEastAsia" w:hAnsi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学分；国赛</w:t>
            </w:r>
            <w:r>
              <w:rPr>
                <w:rFonts w:hint="eastAsia" w:asciiTheme="minorEastAsia" w:hAnsiTheme="minorEastAsia" w:cstheme="minorEastAsia"/>
                <w:sz w:val="24"/>
                <w:szCs w:val="24"/>
                <w:vertAlign w:val="baseline"/>
                <w:lang w:val="en-US" w:eastAsia="zh-CN"/>
              </w:rPr>
              <w:t>三</w:t>
            </w:r>
            <w:r>
              <w:rPr>
                <w:rFonts w:hint="eastAsia" w:asciiTheme="minorEastAsia" w:hAnsiTheme="minorEastAsia" w:eastAsiaTheme="minorEastAsia" w:cstheme="minorEastAsia"/>
                <w:sz w:val="24"/>
                <w:szCs w:val="24"/>
                <w:vertAlign w:val="baseline"/>
              </w:rPr>
              <w:t>等奖（省赛一等奖）学分不超过</w:t>
            </w:r>
            <w:r>
              <w:rPr>
                <w:rFonts w:hint="eastAsia" w:asciiTheme="minorEastAsia" w:hAnsi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学分；省赛</w:t>
            </w:r>
            <w:r>
              <w:rPr>
                <w:rFonts w:hint="eastAsia" w:asciiTheme="minorEastAsia" w:hAnsiTheme="minorEastAsia" w:cstheme="minorEastAsia"/>
                <w:sz w:val="24"/>
                <w:szCs w:val="24"/>
                <w:vertAlign w:val="baseline"/>
                <w:lang w:val="en-US" w:eastAsia="zh-CN"/>
              </w:rPr>
              <w:t>二</w:t>
            </w:r>
            <w:r>
              <w:rPr>
                <w:rFonts w:hint="eastAsia" w:asciiTheme="minorEastAsia" w:hAnsiTheme="minorEastAsia" w:eastAsiaTheme="minorEastAsia" w:cstheme="minorEastAsia"/>
                <w:sz w:val="24"/>
                <w:szCs w:val="24"/>
                <w:vertAlign w:val="baseline"/>
              </w:rPr>
              <w:t>等奖学分不超过</w:t>
            </w: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按优秀或90分记载。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职业经历</w:t>
            </w:r>
          </w:p>
        </w:tc>
        <w:tc>
          <w:tcPr>
            <w:tcW w:w="2124"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职业经历与所学专业匹配</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20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从事所学专业工作5年以上，可认定和转换1门专业课，不过超4学分。</w:t>
            </w:r>
          </w:p>
        </w:tc>
        <w:tc>
          <w:tcPr>
            <w:tcW w:w="1343" w:type="dxa"/>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rPr>
              <w:t>按良好或85分记载。</w:t>
            </w: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其它思想政治与道德素质类、社会实践与志愿服务类、职业技能类、科技学术类、创新创业类、文化艺术与身心发展类、社团活动与社会工作类、国际交流等业绩可参照</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学分计算方法申请项目学分。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凡登记在国家、省级学分银行的学分，可以按学分银行的学分标准认定和转换为相关课程学分。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第四章 学分认定和转换程序</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凡符合学分认定和转换条件的学生，可在每学期第二周和第十二周向所在学院提出书面申请，填写《</w:t>
      </w:r>
      <w:r>
        <w:rPr>
          <w:rFonts w:hint="eastAsia" w:ascii="仿宋_GB2312" w:hAnsi="仿宋_GB2312" w:eastAsia="仿宋_GB2312" w:cs="仿宋_GB2312"/>
          <w:sz w:val="32"/>
          <w:szCs w:val="32"/>
          <w:lang w:val="en-US" w:eastAsia="zh-CN"/>
        </w:rPr>
        <w:t>承德应用技术职业学院</w:t>
      </w:r>
      <w:r>
        <w:rPr>
          <w:rFonts w:hint="eastAsia" w:ascii="仿宋_GB2312" w:hAnsi="仿宋_GB2312" w:eastAsia="仿宋_GB2312" w:cs="仿宋_GB2312"/>
          <w:sz w:val="32"/>
          <w:szCs w:val="32"/>
        </w:rPr>
        <w:t>学分认定和转换申请表》（附件），并附相关证明材料，由学生所在学院初审后统一交教务处审定。</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教务处审定后，将审核意见反馈给二级学院，由二级学院教学秘书将课程成绩录入教务管理系统。</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同一课程、证书或业绩类成果的学分认定和转换，只可申请一次，不可重复申请。</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本规定自公布之日起施行。</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本规定由教务处负责解释。</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val="0"/>
          <w:bCs/>
          <w:sz w:val="32"/>
          <w:szCs w:val="32"/>
          <w:lang w:val="en-US" w:eastAsia="zh-CN"/>
        </w:rPr>
        <w:t>承德应用技术职业学院</w:t>
      </w:r>
      <w:r>
        <w:rPr>
          <w:rFonts w:hint="eastAsia" w:ascii="微软雅黑" w:hAnsi="微软雅黑" w:eastAsia="微软雅黑" w:cs="微软雅黑"/>
          <w:b w:val="0"/>
          <w:bCs/>
          <w:sz w:val="32"/>
          <w:szCs w:val="32"/>
        </w:rPr>
        <w:t>学分认定和转换申请表</w:t>
      </w:r>
    </w:p>
    <w:tbl>
      <w:tblPr>
        <w:tblStyle w:val="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095"/>
        <w:gridCol w:w="2029"/>
        <w:gridCol w:w="1196"/>
        <w:gridCol w:w="773"/>
        <w:gridCol w:w="43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1741" w:type="dxa"/>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kern w:val="0"/>
                <w:sz w:val="24"/>
              </w:rPr>
            </w:pPr>
            <w:r>
              <w:rPr>
                <w:rFonts w:hint="eastAsia" w:ascii="华文细黑" w:hAnsi="华文细黑" w:eastAsia="华文细黑" w:cs="华文细黑"/>
                <w:b w:val="0"/>
                <w:bCs/>
                <w:kern w:val="0"/>
                <w:sz w:val="24"/>
              </w:rPr>
              <w:t>姓   名</w:t>
            </w:r>
          </w:p>
        </w:tc>
        <w:tc>
          <w:tcPr>
            <w:tcW w:w="3124"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p>
        </w:tc>
        <w:tc>
          <w:tcPr>
            <w:tcW w:w="1969"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r>
              <w:rPr>
                <w:rFonts w:hint="eastAsia" w:ascii="华文细黑" w:hAnsi="华文细黑" w:eastAsia="华文细黑" w:cs="华文细黑"/>
                <w:b w:val="0"/>
                <w:bCs/>
                <w:sz w:val="24"/>
              </w:rPr>
              <w:t>学   号</w:t>
            </w:r>
          </w:p>
        </w:tc>
        <w:tc>
          <w:tcPr>
            <w:tcW w:w="1930"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741" w:type="dxa"/>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kern w:val="0"/>
                <w:sz w:val="24"/>
                <w:lang w:eastAsia="zh-CN"/>
              </w:rPr>
            </w:pPr>
            <w:r>
              <w:rPr>
                <w:rFonts w:hint="eastAsia" w:ascii="华文细黑" w:hAnsi="华文细黑" w:eastAsia="华文细黑" w:cs="华文细黑"/>
                <w:b w:val="0"/>
                <w:bCs/>
                <w:sz w:val="24"/>
              </w:rPr>
              <w:t>所在</w:t>
            </w:r>
            <w:r>
              <w:rPr>
                <w:rFonts w:hint="eastAsia" w:ascii="华文细黑" w:hAnsi="华文细黑" w:eastAsia="华文细黑" w:cs="华文细黑"/>
                <w:b w:val="0"/>
                <w:bCs/>
                <w:sz w:val="24"/>
                <w:lang w:val="en-US" w:eastAsia="zh-CN"/>
              </w:rPr>
              <w:t>系部</w:t>
            </w:r>
          </w:p>
        </w:tc>
        <w:tc>
          <w:tcPr>
            <w:tcW w:w="3124"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p>
        </w:tc>
        <w:tc>
          <w:tcPr>
            <w:tcW w:w="1969"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r>
              <w:rPr>
                <w:rFonts w:hint="eastAsia" w:ascii="华文细黑" w:hAnsi="华文细黑" w:eastAsia="华文细黑" w:cs="华文细黑"/>
                <w:b w:val="0"/>
                <w:bCs/>
                <w:sz w:val="24"/>
              </w:rPr>
              <w:t>所在</w:t>
            </w:r>
            <w:r>
              <w:rPr>
                <w:rFonts w:hint="eastAsia" w:ascii="华文细黑" w:hAnsi="华文细黑" w:eastAsia="华文细黑" w:cs="华文细黑"/>
                <w:b w:val="0"/>
                <w:bCs/>
                <w:kern w:val="0"/>
                <w:sz w:val="24"/>
              </w:rPr>
              <w:t>班级</w:t>
            </w:r>
          </w:p>
        </w:tc>
        <w:tc>
          <w:tcPr>
            <w:tcW w:w="1930" w:type="dxa"/>
            <w:gridSpan w:val="2"/>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741" w:type="dxa"/>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kern w:val="0"/>
                <w:szCs w:val="21"/>
              </w:rPr>
            </w:pPr>
            <w:r>
              <w:rPr>
                <w:rFonts w:hint="eastAsia" w:ascii="华文细黑" w:hAnsi="华文细黑" w:eastAsia="华文细黑" w:cs="华文细黑"/>
                <w:b w:val="0"/>
                <w:bCs/>
                <w:kern w:val="0"/>
                <w:sz w:val="24"/>
              </w:rPr>
              <w:t>申请材料名称</w:t>
            </w:r>
          </w:p>
        </w:tc>
        <w:tc>
          <w:tcPr>
            <w:tcW w:w="7023" w:type="dxa"/>
            <w:gridSpan w:val="6"/>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741" w:type="dxa"/>
            <w:vAlign w:val="center"/>
          </w:tcPr>
          <w:p>
            <w:pPr>
              <w:keepNext w:val="0"/>
              <w:keepLines w:val="0"/>
              <w:pageBreakBefore w:val="0"/>
              <w:widowControl w:val="0"/>
              <w:kinsoku/>
              <w:wordWrap/>
              <w:overflowPunct/>
              <w:topLinePunct w:val="0"/>
              <w:autoSpaceDE/>
              <w:autoSpaceDN/>
              <w:bidi w:val="0"/>
              <w:spacing w:line="560" w:lineRule="exact"/>
              <w:ind w:firstLine="420" w:firstLineChars="200"/>
              <w:jc w:val="center"/>
              <w:textAlignment w:val="auto"/>
              <w:rPr>
                <w:rFonts w:hint="eastAsia" w:ascii="华文细黑" w:hAnsi="华文细黑" w:eastAsia="华文细黑" w:cs="华文细黑"/>
                <w:b w:val="0"/>
                <w:bCs/>
                <w:kern w:val="0"/>
                <w:sz w:val="18"/>
                <w:szCs w:val="18"/>
              </w:rPr>
            </w:pPr>
            <w:r>
              <w:rPr>
                <w:rFonts w:hint="eastAsia" w:ascii="华文细黑" w:hAnsi="华文细黑" w:eastAsia="华文细黑" w:cs="华文细黑"/>
                <w:b w:val="0"/>
                <w:bCs/>
                <w:kern w:val="0"/>
                <w:szCs w:val="21"/>
              </w:rPr>
              <w:t>申请学分认定和转换类别</w:t>
            </w:r>
          </w:p>
        </w:tc>
        <w:tc>
          <w:tcPr>
            <w:tcW w:w="7023" w:type="dxa"/>
            <w:gridSpan w:val="6"/>
            <w:vAlign w:val="center"/>
          </w:tcPr>
          <w:p>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rPr>
                <w:rFonts w:hint="eastAsia" w:ascii="华文细黑" w:hAnsi="华文细黑" w:eastAsia="华文细黑" w:cs="华文细黑"/>
                <w:b w:val="0"/>
                <w:bCs/>
                <w:sz w:val="24"/>
              </w:rPr>
            </w:pPr>
            <w:r>
              <w:rPr>
                <w:rFonts w:hint="eastAsia" w:ascii="华文细黑" w:hAnsi="华文细黑" w:eastAsia="华文细黑" w:cs="华文细黑"/>
                <w:b w:val="0"/>
                <w:bCs/>
                <w:sz w:val="24"/>
              </w:rPr>
              <w:t>1.课程类</w:t>
            </w:r>
            <w:r>
              <w:rPr>
                <w:rFonts w:hint="eastAsia" w:ascii="华文细黑" w:hAnsi="华文细黑" w:eastAsia="华文细黑" w:cs="华文细黑"/>
                <w:b w:val="0"/>
                <w:bCs/>
                <w:sz w:val="24"/>
              </w:rPr>
              <w:sym w:font="Wingdings 2" w:char="00A3"/>
            </w:r>
            <w:r>
              <w:rPr>
                <w:rFonts w:hint="eastAsia" w:ascii="华文细黑" w:hAnsi="华文细黑" w:eastAsia="华文细黑" w:cs="华文细黑"/>
                <w:b w:val="0"/>
                <w:bCs/>
                <w:sz w:val="24"/>
              </w:rPr>
              <w:t xml:space="preserve">     </w:t>
            </w:r>
            <w:r>
              <w:rPr>
                <w:rFonts w:hint="eastAsia" w:ascii="华文细黑" w:hAnsi="华文细黑" w:eastAsia="华文细黑" w:cs="华文细黑"/>
                <w:b w:val="0"/>
                <w:bCs/>
                <w:sz w:val="24"/>
                <w:lang w:val="en-US" w:eastAsia="zh-CN"/>
              </w:rPr>
              <w:t xml:space="preserve">  </w:t>
            </w:r>
            <w:r>
              <w:rPr>
                <w:rFonts w:hint="eastAsia" w:ascii="华文细黑" w:hAnsi="华文细黑" w:eastAsia="华文细黑" w:cs="华文细黑"/>
                <w:b w:val="0"/>
                <w:bCs/>
                <w:sz w:val="24"/>
              </w:rPr>
              <w:t>2.证书类</w:t>
            </w:r>
            <w:r>
              <w:rPr>
                <w:rFonts w:hint="eastAsia" w:ascii="华文细黑" w:hAnsi="华文细黑" w:eastAsia="华文细黑" w:cs="华文细黑"/>
                <w:b w:val="0"/>
                <w:bCs/>
                <w:sz w:val="24"/>
              </w:rPr>
              <w:sym w:font="Wingdings 2" w:char="00A3"/>
            </w:r>
            <w:r>
              <w:rPr>
                <w:rFonts w:hint="eastAsia" w:ascii="华文细黑" w:hAnsi="华文细黑" w:eastAsia="华文细黑" w:cs="华文细黑"/>
                <w:b w:val="0"/>
                <w:bCs/>
                <w:sz w:val="24"/>
              </w:rPr>
              <w:t xml:space="preserve">       3.业绩成果类</w:t>
            </w:r>
            <w:r>
              <w:rPr>
                <w:rFonts w:hint="eastAsia" w:ascii="华文细黑" w:hAnsi="华文细黑" w:eastAsia="华文细黑" w:cs="华文细黑"/>
                <w:b w:val="0"/>
                <w:bCs/>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28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both"/>
              <w:textAlignment w:val="auto"/>
              <w:rPr>
                <w:rFonts w:hint="eastAsia" w:ascii="华文细黑" w:hAnsi="华文细黑" w:eastAsia="华文细黑" w:cs="华文细黑"/>
                <w:b w:val="0"/>
                <w:bCs/>
                <w:kern w:val="0"/>
                <w:sz w:val="24"/>
              </w:rPr>
            </w:pPr>
            <w:r>
              <w:rPr>
                <w:rFonts w:hint="eastAsia" w:ascii="华文细黑" w:hAnsi="华文细黑" w:eastAsia="华文细黑" w:cs="华文细黑"/>
                <w:b w:val="0"/>
                <w:bCs/>
                <w:kern w:val="0"/>
                <w:sz w:val="24"/>
              </w:rPr>
              <w:t>申请学分认定和转换</w:t>
            </w: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jc w:val="both"/>
              <w:textAlignment w:val="auto"/>
              <w:rPr>
                <w:rFonts w:ascii="宋体" w:hAnsi="宋体" w:cs="宋体"/>
                <w:b/>
                <w:kern w:val="0"/>
                <w:sz w:val="18"/>
                <w:szCs w:val="18"/>
              </w:rPr>
            </w:pPr>
            <w:r>
              <w:rPr>
                <w:rFonts w:hint="eastAsia" w:ascii="华文细黑" w:hAnsi="华文细黑" w:eastAsia="华文细黑" w:cs="华文细黑"/>
                <w:b w:val="0"/>
                <w:bCs/>
                <w:kern w:val="0"/>
                <w:sz w:val="24"/>
              </w:rPr>
              <w:t>课程名称</w:t>
            </w:r>
          </w:p>
        </w:tc>
        <w:tc>
          <w:tcPr>
            <w:tcW w:w="32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华文细黑" w:hAnsi="华文细黑" w:eastAsia="华文细黑" w:cs="华文细黑"/>
                <w:b w:val="0"/>
                <w:bCs/>
                <w:kern w:val="0"/>
                <w:sz w:val="24"/>
              </w:rPr>
            </w:pPr>
            <w:r>
              <w:rPr>
                <w:rFonts w:hint="eastAsia" w:ascii="华文细黑" w:hAnsi="华文细黑" w:eastAsia="华文细黑" w:cs="华文细黑"/>
                <w:b w:val="0"/>
                <w:bCs/>
                <w:kern w:val="0"/>
                <w:sz w:val="24"/>
              </w:rPr>
              <w:t>课程性质</w:t>
            </w:r>
          </w:p>
          <w:p>
            <w:pPr>
              <w:keepNext w:val="0"/>
              <w:keepLines w:val="0"/>
              <w:pageBreakBefore w:val="0"/>
              <w:widowControl w:val="0"/>
              <w:kinsoku/>
              <w:wordWrap/>
              <w:overflowPunct/>
              <w:topLinePunct w:val="0"/>
              <w:autoSpaceDE/>
              <w:autoSpaceDN/>
              <w:bidi w:val="0"/>
              <w:adjustRightInd w:val="0"/>
              <w:snapToGrid w:val="0"/>
              <w:spacing w:line="560" w:lineRule="exact"/>
              <w:ind w:firstLine="360" w:firstLineChars="200"/>
              <w:jc w:val="center"/>
              <w:textAlignment w:val="auto"/>
              <w:rPr>
                <w:rFonts w:ascii="宋体" w:hAnsi="宋体" w:cs="宋体"/>
                <w:b/>
                <w:kern w:val="0"/>
                <w:sz w:val="24"/>
              </w:rPr>
            </w:pPr>
            <w:r>
              <w:rPr>
                <w:rFonts w:hint="eastAsia" w:ascii="宋体" w:hAnsi="宋体" w:cs="宋体"/>
                <w:bCs/>
                <w:kern w:val="0"/>
                <w:sz w:val="18"/>
                <w:szCs w:val="18"/>
              </w:rPr>
              <w:t>（专业必修课/专业选修课/基本素质必修课/基本素质选修课）</w:t>
            </w:r>
          </w:p>
        </w:tc>
        <w:tc>
          <w:tcPr>
            <w:tcW w:w="120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华文细黑" w:hAnsi="华文细黑" w:eastAsia="华文细黑" w:cs="华文细黑"/>
                <w:b w:val="0"/>
                <w:bCs/>
                <w:kern w:val="0"/>
                <w:sz w:val="24"/>
              </w:rPr>
            </w:pPr>
            <w:r>
              <w:rPr>
                <w:rFonts w:hint="eastAsia" w:ascii="华文细黑" w:hAnsi="华文细黑" w:eastAsia="华文细黑" w:cs="华文细黑"/>
                <w:b w:val="0"/>
                <w:bCs/>
                <w:kern w:val="0"/>
                <w:sz w:val="24"/>
              </w:rPr>
              <w:t>学  分</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华文细黑" w:hAnsi="华文细黑" w:eastAsia="华文细黑" w:cs="华文细黑"/>
                <w:b w:val="0"/>
                <w:bCs/>
                <w:kern w:val="0"/>
                <w:sz w:val="24"/>
              </w:rPr>
            </w:pPr>
            <w:r>
              <w:rPr>
                <w:rFonts w:hint="eastAsia" w:ascii="华文细黑" w:hAnsi="华文细黑" w:eastAsia="华文细黑" w:cs="华文细黑"/>
                <w:b w:val="0"/>
                <w:bCs/>
                <w:kern w:val="0"/>
                <w:sz w:val="24"/>
              </w:rPr>
              <w:t>课程学时数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836" w:type="dxa"/>
            <w:gridSpan w:val="2"/>
            <w:vAlign w:val="center"/>
          </w:tcPr>
          <w:p>
            <w:pPr>
              <w:keepNext w:val="0"/>
              <w:keepLines w:val="0"/>
              <w:pageBreakBefore w:val="0"/>
              <w:widowControl w:val="0"/>
              <w:kinsoku/>
              <w:wordWrap/>
              <w:overflowPunct/>
              <w:topLinePunct w:val="0"/>
              <w:autoSpaceDE/>
              <w:autoSpaceDN/>
              <w:bidi w:val="0"/>
              <w:spacing w:after="309" w:afterLines="50" w:line="560" w:lineRule="exact"/>
              <w:ind w:firstLine="480" w:firstLineChars="200"/>
              <w:jc w:val="center"/>
              <w:textAlignment w:val="auto"/>
              <w:rPr>
                <w:rFonts w:eastAsia="仿宋_GB2312"/>
                <w:bCs/>
                <w:sz w:val="24"/>
              </w:rPr>
            </w:pPr>
          </w:p>
        </w:tc>
        <w:tc>
          <w:tcPr>
            <w:tcW w:w="3225" w:type="dxa"/>
            <w:gridSpan w:val="2"/>
            <w:vAlign w:val="center"/>
          </w:tcPr>
          <w:p>
            <w:pPr>
              <w:keepNext w:val="0"/>
              <w:keepLines w:val="0"/>
              <w:pageBreakBefore w:val="0"/>
              <w:widowControl w:val="0"/>
              <w:kinsoku/>
              <w:wordWrap/>
              <w:overflowPunct/>
              <w:topLinePunct w:val="0"/>
              <w:autoSpaceDE/>
              <w:autoSpaceDN/>
              <w:bidi w:val="0"/>
              <w:spacing w:after="309" w:afterLines="50" w:line="560" w:lineRule="exact"/>
              <w:ind w:firstLine="480" w:firstLineChars="200"/>
              <w:jc w:val="center"/>
              <w:textAlignment w:val="auto"/>
              <w:rPr>
                <w:rFonts w:eastAsia="仿宋_GB2312"/>
                <w:bCs/>
                <w:sz w:val="24"/>
              </w:rPr>
            </w:pPr>
          </w:p>
        </w:tc>
        <w:tc>
          <w:tcPr>
            <w:tcW w:w="1203" w:type="dxa"/>
            <w:gridSpan w:val="2"/>
            <w:vAlign w:val="center"/>
          </w:tcPr>
          <w:p>
            <w:pPr>
              <w:keepNext w:val="0"/>
              <w:keepLines w:val="0"/>
              <w:pageBreakBefore w:val="0"/>
              <w:widowControl w:val="0"/>
              <w:kinsoku/>
              <w:wordWrap/>
              <w:overflowPunct/>
              <w:topLinePunct w:val="0"/>
              <w:autoSpaceDE/>
              <w:autoSpaceDN/>
              <w:bidi w:val="0"/>
              <w:spacing w:after="309" w:afterLines="50" w:line="560" w:lineRule="exact"/>
              <w:ind w:firstLine="480" w:firstLineChars="200"/>
              <w:jc w:val="center"/>
              <w:textAlignment w:val="auto"/>
              <w:rPr>
                <w:rFonts w:eastAsia="仿宋_GB2312"/>
                <w:bCs/>
                <w:sz w:val="24"/>
              </w:rPr>
            </w:pPr>
          </w:p>
        </w:tc>
        <w:tc>
          <w:tcPr>
            <w:tcW w:w="1500" w:type="dxa"/>
            <w:vAlign w:val="center"/>
          </w:tcPr>
          <w:p>
            <w:pPr>
              <w:keepNext w:val="0"/>
              <w:keepLines w:val="0"/>
              <w:pageBreakBefore w:val="0"/>
              <w:widowControl w:val="0"/>
              <w:kinsoku/>
              <w:wordWrap/>
              <w:overflowPunct/>
              <w:topLinePunct w:val="0"/>
              <w:autoSpaceDE/>
              <w:autoSpaceDN/>
              <w:bidi w:val="0"/>
              <w:spacing w:after="309" w:afterLines="50" w:line="560" w:lineRule="exact"/>
              <w:ind w:firstLine="480" w:firstLineChars="200"/>
              <w:jc w:val="center"/>
              <w:textAlignment w:val="auto"/>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764" w:type="dxa"/>
            <w:gridSpan w:val="7"/>
            <w:vAlign w:val="top"/>
          </w:tcPr>
          <w:p>
            <w:pPr>
              <w:keepNext w:val="0"/>
              <w:keepLines w:val="0"/>
              <w:pageBreakBefore w:val="0"/>
              <w:widowControl w:val="0"/>
              <w:kinsoku/>
              <w:wordWrap/>
              <w:overflowPunct/>
              <w:topLinePunct w:val="0"/>
              <w:autoSpaceDE/>
              <w:autoSpaceDN/>
              <w:bidi w:val="0"/>
              <w:spacing w:before="0" w:line="560" w:lineRule="exact"/>
              <w:textAlignment w:val="auto"/>
              <w:rPr>
                <w:rFonts w:hint="eastAsia" w:ascii="宋体" w:hAnsi="宋体" w:cs="宋体"/>
                <w:bCs/>
                <w:sz w:val="24"/>
              </w:rPr>
            </w:pPr>
          </w:p>
          <w:p>
            <w:pPr>
              <w:keepNext w:val="0"/>
              <w:keepLines w:val="0"/>
              <w:pageBreakBefore w:val="0"/>
              <w:widowControl w:val="0"/>
              <w:kinsoku/>
              <w:wordWrap/>
              <w:overflowPunct/>
              <w:topLinePunct w:val="0"/>
              <w:autoSpaceDE/>
              <w:autoSpaceDN/>
              <w:bidi w:val="0"/>
              <w:spacing w:before="0" w:line="560" w:lineRule="exact"/>
              <w:ind w:firstLine="480" w:firstLineChars="200"/>
              <w:textAlignment w:val="auto"/>
              <w:rPr>
                <w:rFonts w:eastAsia="仿宋_GB2312"/>
                <w:bCs/>
                <w:sz w:val="24"/>
              </w:rPr>
            </w:pPr>
            <w:r>
              <w:rPr>
                <w:rFonts w:hint="eastAsia" w:ascii="宋体" w:hAnsi="宋体" w:cs="宋体"/>
                <w:bCs/>
                <w:sz w:val="24"/>
              </w:rPr>
              <w:t xml:space="preserve">申请人签名：         日期：   </w:t>
            </w:r>
            <w:r>
              <w:rPr>
                <w:rFonts w:hint="eastAsia" w:eastAsia="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764" w:type="dxa"/>
            <w:gridSpan w:val="7"/>
            <w:vAlign w:val="top"/>
          </w:tcPr>
          <w:p>
            <w:pPr>
              <w:keepNext w:val="0"/>
              <w:keepLines w:val="0"/>
              <w:pageBreakBefore w:val="0"/>
              <w:widowControl w:val="0"/>
              <w:kinsoku/>
              <w:wordWrap/>
              <w:overflowPunct/>
              <w:topLinePunct w:val="0"/>
              <w:autoSpaceDE/>
              <w:autoSpaceDN/>
              <w:bidi w:val="0"/>
              <w:spacing w:before="0" w:line="560" w:lineRule="exact"/>
              <w:ind w:right="482" w:firstLine="480" w:firstLineChars="200"/>
              <w:jc w:val="center"/>
              <w:textAlignment w:val="auto"/>
              <w:rPr>
                <w:rFonts w:hint="default" w:ascii="宋体" w:hAnsi="宋体" w:eastAsia="宋体" w:cs="宋体"/>
                <w:bCs/>
                <w:sz w:val="24"/>
                <w:lang w:val="en-US" w:eastAsia="zh-CN"/>
              </w:rPr>
            </w:pPr>
            <w:r>
              <w:rPr>
                <w:rFonts w:hint="eastAsia" w:ascii="宋体" w:hAnsi="宋体" w:cs="宋体"/>
                <w:bCs/>
                <w:sz w:val="24"/>
                <w:lang w:val="en-US" w:eastAsia="zh-CN"/>
              </w:rPr>
              <w:t>以上部分由学生本人填写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764" w:type="dxa"/>
            <w:gridSpan w:val="7"/>
            <w:vAlign w:val="top"/>
          </w:tcPr>
          <w:p>
            <w:pPr>
              <w:keepNext w:val="0"/>
              <w:keepLines w:val="0"/>
              <w:pageBreakBefore w:val="0"/>
              <w:widowControl w:val="0"/>
              <w:kinsoku/>
              <w:wordWrap/>
              <w:overflowPunct/>
              <w:topLinePunct w:val="0"/>
              <w:autoSpaceDE/>
              <w:autoSpaceDN/>
              <w:bidi w:val="0"/>
              <w:spacing w:before="0" w:line="560" w:lineRule="exact"/>
              <w:ind w:firstLine="480" w:firstLineChars="200"/>
              <w:textAlignment w:val="auto"/>
              <w:rPr>
                <w:rFonts w:hint="eastAsia" w:ascii="华文细黑" w:hAnsi="华文细黑" w:eastAsia="华文细黑" w:cs="华文细黑"/>
                <w:b w:val="0"/>
                <w:bCs w:val="0"/>
                <w:sz w:val="24"/>
              </w:rPr>
            </w:pPr>
            <w:r>
              <w:rPr>
                <w:rFonts w:hint="eastAsia" w:ascii="华文细黑" w:hAnsi="华文细黑" w:eastAsia="华文细黑" w:cs="华文细黑"/>
                <w:b w:val="0"/>
                <w:bCs w:val="0"/>
                <w:sz w:val="24"/>
              </w:rPr>
              <w:t>教研室主任或任课教师意见：</w:t>
            </w:r>
          </w:p>
          <w:p>
            <w:pPr>
              <w:keepNext w:val="0"/>
              <w:keepLines w:val="0"/>
              <w:pageBreakBefore w:val="0"/>
              <w:widowControl w:val="0"/>
              <w:kinsoku/>
              <w:wordWrap/>
              <w:overflowPunct/>
              <w:topLinePunct w:val="0"/>
              <w:autoSpaceDE/>
              <w:autoSpaceDN/>
              <w:bidi w:val="0"/>
              <w:spacing w:before="0" w:line="560" w:lineRule="exact"/>
              <w:ind w:right="482"/>
              <w:jc w:val="both"/>
              <w:textAlignment w:val="auto"/>
              <w:rPr>
                <w:rFonts w:hint="eastAsia" w:eastAsia="仿宋_GB2312"/>
                <w:bCs/>
                <w:sz w:val="24"/>
              </w:rPr>
            </w:pPr>
            <w:r>
              <w:rPr>
                <w:rFonts w:hint="eastAsia" w:eastAsia="仿宋_GB2312"/>
                <w:bCs/>
                <w:sz w:val="24"/>
              </w:rPr>
              <w:t xml:space="preserve">           </w:t>
            </w:r>
            <w:r>
              <w:rPr>
                <w:rFonts w:hint="eastAsia" w:eastAsia="仿宋_GB2312"/>
                <w:bCs/>
                <w:sz w:val="24"/>
                <w:lang w:val="en-US" w:eastAsia="zh-CN"/>
              </w:rPr>
              <w:t xml:space="preserve">                          </w:t>
            </w:r>
            <w:r>
              <w:rPr>
                <w:rFonts w:hint="eastAsia" w:eastAsia="仿宋_GB2312"/>
                <w:bCs/>
                <w:sz w:val="24"/>
              </w:rPr>
              <w:t xml:space="preserve"> </w:t>
            </w:r>
          </w:p>
          <w:p>
            <w:pPr>
              <w:keepNext w:val="0"/>
              <w:keepLines w:val="0"/>
              <w:pageBreakBefore w:val="0"/>
              <w:widowControl w:val="0"/>
              <w:kinsoku/>
              <w:wordWrap/>
              <w:overflowPunct/>
              <w:topLinePunct w:val="0"/>
              <w:autoSpaceDE/>
              <w:autoSpaceDN/>
              <w:bidi w:val="0"/>
              <w:spacing w:before="0" w:line="560" w:lineRule="exact"/>
              <w:ind w:right="482" w:firstLine="480" w:firstLineChars="200"/>
              <w:jc w:val="both"/>
              <w:textAlignment w:val="auto"/>
              <w:rPr>
                <w:rFonts w:eastAsia="仿宋_GB2312"/>
                <w:bCs/>
                <w:sz w:val="24"/>
              </w:rPr>
            </w:pPr>
            <w:r>
              <w:rPr>
                <w:rFonts w:hint="eastAsia" w:ascii="宋体" w:hAnsi="宋体" w:cs="宋体"/>
                <w:bCs/>
                <w:sz w:val="24"/>
              </w:rPr>
              <w:t>签名：</w:t>
            </w:r>
            <w:r>
              <w:rPr>
                <w:rFonts w:hint="eastAsia" w:ascii="宋体" w:hAnsi="宋体" w:cs="宋体"/>
                <w:bCs/>
                <w:sz w:val="24"/>
                <w:lang w:val="en-US" w:eastAsia="zh-CN"/>
              </w:rPr>
              <w:t xml:space="preserve">         </w:t>
            </w:r>
            <w:r>
              <w:rPr>
                <w:rFonts w:hint="eastAsia" w:ascii="宋体" w:hAnsi="宋体" w:cs="宋体"/>
                <w:bCs/>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764" w:type="dxa"/>
            <w:gridSpan w:val="7"/>
            <w:vAlign w:val="top"/>
          </w:tcPr>
          <w:p>
            <w:pPr>
              <w:keepNext w:val="0"/>
              <w:keepLines w:val="0"/>
              <w:pageBreakBefore w:val="0"/>
              <w:widowControl w:val="0"/>
              <w:kinsoku/>
              <w:wordWrap/>
              <w:overflowPunct/>
              <w:topLinePunct w:val="0"/>
              <w:autoSpaceDE/>
              <w:autoSpaceDN/>
              <w:bidi w:val="0"/>
              <w:spacing w:before="0" w:line="560" w:lineRule="exact"/>
              <w:ind w:firstLine="480" w:firstLineChars="200"/>
              <w:textAlignment w:val="auto"/>
              <w:rPr>
                <w:rFonts w:hint="eastAsia" w:ascii="华文细黑" w:hAnsi="华文细黑" w:eastAsia="华文细黑" w:cs="华文细黑"/>
                <w:b w:val="0"/>
                <w:bCs w:val="0"/>
                <w:sz w:val="24"/>
              </w:rPr>
            </w:pPr>
            <w:r>
              <w:rPr>
                <w:rFonts w:hint="eastAsia" w:ascii="华文细黑" w:hAnsi="华文细黑" w:eastAsia="华文细黑" w:cs="华文细黑"/>
                <w:b w:val="0"/>
                <w:bCs w:val="0"/>
                <w:sz w:val="24"/>
                <w:lang w:val="en-US" w:eastAsia="zh-CN"/>
              </w:rPr>
              <w:t>系部</w:t>
            </w:r>
            <w:r>
              <w:rPr>
                <w:rFonts w:hint="eastAsia" w:ascii="华文细黑" w:hAnsi="华文细黑" w:eastAsia="华文细黑" w:cs="华文细黑"/>
                <w:b w:val="0"/>
                <w:bCs w:val="0"/>
                <w:sz w:val="24"/>
              </w:rPr>
              <w:t>意见：</w:t>
            </w:r>
          </w:p>
          <w:p>
            <w:pPr>
              <w:keepNext w:val="0"/>
              <w:keepLines w:val="0"/>
              <w:pageBreakBefore w:val="0"/>
              <w:widowControl w:val="0"/>
              <w:kinsoku/>
              <w:wordWrap/>
              <w:overflowPunct/>
              <w:topLinePunct w:val="0"/>
              <w:autoSpaceDE/>
              <w:autoSpaceDN/>
              <w:bidi w:val="0"/>
              <w:spacing w:before="0" w:line="560" w:lineRule="exact"/>
              <w:ind w:right="958"/>
              <w:textAlignment w:val="auto"/>
              <w:rPr>
                <w:rFonts w:hint="eastAsia" w:ascii="宋体" w:hAnsi="宋体" w:cs="宋体"/>
                <w:bCs/>
                <w:sz w:val="24"/>
              </w:rPr>
            </w:pPr>
          </w:p>
          <w:p>
            <w:pPr>
              <w:keepNext w:val="0"/>
              <w:keepLines w:val="0"/>
              <w:pageBreakBefore w:val="0"/>
              <w:widowControl w:val="0"/>
              <w:kinsoku/>
              <w:wordWrap/>
              <w:overflowPunct/>
              <w:topLinePunct w:val="0"/>
              <w:autoSpaceDE/>
              <w:autoSpaceDN/>
              <w:bidi w:val="0"/>
              <w:spacing w:before="0" w:line="560" w:lineRule="exact"/>
              <w:ind w:right="958" w:firstLine="480" w:firstLineChars="200"/>
              <w:textAlignment w:val="auto"/>
              <w:rPr>
                <w:rFonts w:eastAsia="仿宋_GB2312"/>
                <w:bCs/>
                <w:sz w:val="24"/>
              </w:rPr>
            </w:pPr>
            <w:r>
              <w:rPr>
                <w:rFonts w:hint="eastAsia" w:ascii="宋体" w:hAnsi="宋体" w:cs="宋体"/>
                <w:bCs/>
                <w:sz w:val="24"/>
              </w:rPr>
              <w:t>签名：</w:t>
            </w:r>
            <w:r>
              <w:rPr>
                <w:rFonts w:hint="eastAsia" w:ascii="宋体" w:hAnsi="宋体" w:cs="宋体"/>
                <w:bCs/>
                <w:sz w:val="24"/>
                <w:lang w:val="en-US" w:eastAsia="zh-CN"/>
              </w:rPr>
              <w:t xml:space="preserve">         </w:t>
            </w:r>
            <w:r>
              <w:rPr>
                <w:rFonts w:hint="eastAsia" w:ascii="宋体" w:hAnsi="宋体" w:cs="宋体"/>
                <w:bCs/>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64" w:type="dxa"/>
            <w:gridSpan w:val="7"/>
            <w:vAlign w:val="top"/>
          </w:tcPr>
          <w:p>
            <w:pPr>
              <w:keepNext w:val="0"/>
              <w:keepLines/>
              <w:pageBreakBefore w:val="0"/>
              <w:widowControl w:val="0"/>
              <w:kinsoku/>
              <w:wordWrap/>
              <w:overflowPunct/>
              <w:topLinePunct w:val="0"/>
              <w:autoSpaceDE/>
              <w:autoSpaceDN/>
              <w:bidi w:val="0"/>
              <w:adjustRightInd/>
              <w:snapToGrid/>
              <w:spacing w:before="0" w:line="560" w:lineRule="exact"/>
              <w:ind w:firstLine="480" w:firstLineChars="200"/>
              <w:textAlignment w:val="auto"/>
              <w:rPr>
                <w:rFonts w:hint="eastAsia" w:ascii="华文细黑" w:hAnsi="华文细黑" w:eastAsia="华文细黑" w:cs="华文细黑"/>
                <w:b w:val="0"/>
                <w:bCs w:val="0"/>
                <w:sz w:val="24"/>
                <w:lang w:val="en-US" w:eastAsia="zh-CN"/>
              </w:rPr>
            </w:pPr>
            <w:r>
              <w:rPr>
                <w:rFonts w:hint="eastAsia" w:ascii="华文细黑" w:hAnsi="华文细黑" w:eastAsia="华文细黑" w:cs="华文细黑"/>
                <w:b w:val="0"/>
                <w:bCs w:val="0"/>
                <w:sz w:val="24"/>
                <w:lang w:val="en-US" w:eastAsia="zh-CN"/>
              </w:rPr>
              <w:t>教务处意见：</w:t>
            </w:r>
          </w:p>
          <w:p>
            <w:pPr>
              <w:keepNext w:val="0"/>
              <w:keepLines/>
              <w:pageBreakBefore w:val="0"/>
              <w:widowControl w:val="0"/>
              <w:kinsoku/>
              <w:wordWrap/>
              <w:overflowPunct/>
              <w:topLinePunct w:val="0"/>
              <w:autoSpaceDE/>
              <w:autoSpaceDN/>
              <w:bidi w:val="0"/>
              <w:adjustRightInd/>
              <w:snapToGrid/>
              <w:spacing w:before="0" w:line="560" w:lineRule="exact"/>
              <w:ind w:right="480"/>
              <w:textAlignment w:val="auto"/>
              <w:rPr>
                <w:rFonts w:hint="eastAsia" w:ascii="宋体" w:hAnsi="宋体" w:cs="宋体"/>
                <w:bCs/>
                <w:sz w:val="24"/>
              </w:rPr>
            </w:pPr>
          </w:p>
          <w:p>
            <w:pPr>
              <w:keepNext w:val="0"/>
              <w:keepLines/>
              <w:pageBreakBefore w:val="0"/>
              <w:widowControl w:val="0"/>
              <w:kinsoku/>
              <w:wordWrap/>
              <w:overflowPunct/>
              <w:topLinePunct w:val="0"/>
              <w:autoSpaceDE/>
              <w:autoSpaceDN/>
              <w:bidi w:val="0"/>
              <w:adjustRightInd/>
              <w:snapToGrid/>
              <w:spacing w:before="0" w:line="560" w:lineRule="exact"/>
              <w:ind w:right="480" w:firstLine="480" w:firstLineChars="200"/>
              <w:textAlignment w:val="auto"/>
              <w:rPr>
                <w:rFonts w:eastAsia="仿宋_GB2312"/>
                <w:bCs/>
                <w:sz w:val="24"/>
              </w:rPr>
            </w:pPr>
            <w:r>
              <w:rPr>
                <w:rFonts w:hint="eastAsia" w:ascii="宋体" w:hAnsi="宋体" w:cs="宋体"/>
                <w:bCs/>
                <w:sz w:val="24"/>
              </w:rPr>
              <w:t>签名：</w:t>
            </w:r>
            <w:r>
              <w:rPr>
                <w:rFonts w:hint="eastAsia" w:ascii="宋体" w:hAnsi="宋体" w:cs="宋体"/>
                <w:bCs/>
                <w:sz w:val="24"/>
                <w:lang w:val="en-US" w:eastAsia="zh-CN"/>
              </w:rPr>
              <w:t xml:space="preserve">         </w:t>
            </w:r>
            <w:r>
              <w:rPr>
                <w:rFonts w:hint="eastAsia" w:ascii="宋体" w:hAnsi="宋体" w:cs="宋体"/>
                <w:bCs/>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764" w:type="dxa"/>
            <w:gridSpan w:val="7"/>
            <w:vAlign w:val="center"/>
          </w:tcPr>
          <w:p>
            <w:pPr>
              <w:keepNext w:val="0"/>
              <w:keepLines/>
              <w:pageBreakBefore w:val="0"/>
              <w:widowControl w:val="0"/>
              <w:kinsoku/>
              <w:wordWrap/>
              <w:overflowPunct/>
              <w:topLinePunct w:val="0"/>
              <w:autoSpaceDE/>
              <w:autoSpaceDN/>
              <w:bidi w:val="0"/>
              <w:adjustRightInd/>
              <w:snapToGrid/>
              <w:spacing w:before="120" w:line="560" w:lineRule="exact"/>
              <w:ind w:firstLine="480" w:firstLineChars="200"/>
              <w:jc w:val="both"/>
              <w:textAlignment w:val="auto"/>
              <w:rPr>
                <w:rFonts w:eastAsia="仿宋_GB2312"/>
                <w:b/>
                <w:bCs/>
                <w:sz w:val="24"/>
              </w:rPr>
            </w:pPr>
            <w:r>
              <w:rPr>
                <w:rFonts w:hint="eastAsia" w:ascii="华文细黑" w:hAnsi="华文细黑" w:eastAsia="华文细黑" w:cs="华文细黑"/>
                <w:b w:val="0"/>
                <w:bCs w:val="0"/>
                <w:sz w:val="24"/>
                <w:lang w:val="en-US" w:eastAsia="zh-CN"/>
              </w:rPr>
              <w:t>备注：</w:t>
            </w:r>
          </w:p>
        </w:tc>
      </w:tr>
    </w:tbl>
    <w:p>
      <w:pPr>
        <w:keepNext w:val="0"/>
        <w:keepLines/>
        <w:pageBreakBefore w:val="0"/>
        <w:widowControl w:val="0"/>
        <w:kinsoku/>
        <w:wordWrap/>
        <w:overflowPunct/>
        <w:topLinePunct w:val="0"/>
        <w:autoSpaceDE/>
        <w:autoSpaceDN/>
        <w:bidi w:val="0"/>
        <w:adjustRightInd/>
        <w:snapToGrid/>
        <w:spacing w:line="560" w:lineRule="exact"/>
        <w:ind w:firstLine="421" w:firstLineChars="200"/>
        <w:jc w:val="left"/>
        <w:textAlignment w:val="auto"/>
        <w:rPr>
          <w:rFonts w:hint="eastAsia"/>
        </w:rPr>
      </w:pPr>
      <w:r>
        <w:rPr>
          <w:rFonts w:hint="eastAsia"/>
          <w:b/>
          <w:bCs/>
        </w:rPr>
        <w:t>注：校外课程、证书类或业绩成果类需提供证明材料。</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kinsoku/>
      <w:wordWrap/>
      <w:overflowPunct/>
      <w:topLinePunct w:val="0"/>
      <w:autoSpaceDE/>
      <w:autoSpaceDN/>
      <w:bidi w:val="0"/>
      <w:adjustRightInd/>
      <w:snapToGrid w:val="0"/>
      <w:spacing w:line="560" w:lineRule="exact"/>
      <w:ind w:firstLine="360" w:firstLineChars="200"/>
      <w:jc w:val="lef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tLeast"/>
      <w:rPr>
        <w:rFonts w:ascii="Calibri" w:hAnsi="Calibri" w:eastAsia="宋体" w:cs="Times New Roman"/>
        <w:sz w:val="32"/>
        <w:szCs w:val="32"/>
        <w:highlight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000000"/>
    <w:rsid w:val="01792721"/>
    <w:rsid w:val="03B70F1E"/>
    <w:rsid w:val="03CF58A1"/>
    <w:rsid w:val="09F1335C"/>
    <w:rsid w:val="0B17618E"/>
    <w:rsid w:val="0D0227BA"/>
    <w:rsid w:val="0D9722AD"/>
    <w:rsid w:val="17233804"/>
    <w:rsid w:val="1DB10040"/>
    <w:rsid w:val="22162716"/>
    <w:rsid w:val="2BAB6FD9"/>
    <w:rsid w:val="30204B81"/>
    <w:rsid w:val="31236DC4"/>
    <w:rsid w:val="31977E0A"/>
    <w:rsid w:val="3635419E"/>
    <w:rsid w:val="465B64BB"/>
    <w:rsid w:val="504D01C2"/>
    <w:rsid w:val="523A670E"/>
    <w:rsid w:val="551B5793"/>
    <w:rsid w:val="58296964"/>
    <w:rsid w:val="5C341831"/>
    <w:rsid w:val="5F0921CB"/>
    <w:rsid w:val="614234A5"/>
    <w:rsid w:val="660E6216"/>
    <w:rsid w:val="677B3A4A"/>
    <w:rsid w:val="67992A4C"/>
    <w:rsid w:val="6C620EFA"/>
    <w:rsid w:val="6CE33A1E"/>
    <w:rsid w:val="6F6F005D"/>
    <w:rsid w:val="7ACE4ED2"/>
    <w:rsid w:val="AF9E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2664</Words>
  <Characters>2700</Characters>
  <Lines>0</Lines>
  <Paragraphs>0</Paragraphs>
  <TotalTime>4</TotalTime>
  <ScaleCrop>false</ScaleCrop>
  <LinksUpToDate>false</LinksUpToDate>
  <CharactersWithSpaces>2746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2023-06-30T14:08:00Z</dcterms:created>
  <dc:creator>jwc</dc:creator>
  <cp:lastModifiedBy>承德应用职业技术学院</cp:lastModifiedBy>
  <cp:lastPrinted>2023-11-27T15:06:00Z</cp:lastPrinted>
  <dcterms:modified xsi:type="dcterms:W3CDTF">2024-10-25T09:20:09Z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D9B5CD624DC642C8B27061DC7EFAB718_12</vt:lpwstr>
  </property>
</Properties>
</file>