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center"/>
        <w:rPr>
          <w:rFonts w:ascii="仿宋" w:hAnsi="仿宋" w:eastAsia="仿宋" w:cs="仿宋"/>
          <w:color w:val="auto"/>
          <w:sz w:val="32"/>
          <w:szCs w:val="32"/>
        </w:rPr>
      </w:pPr>
    </w:p>
    <w:p>
      <w:pPr>
        <w:widowControl/>
        <w:spacing w:line="579" w:lineRule="exact"/>
        <w:jc w:val="center"/>
        <w:rPr>
          <w:rFonts w:ascii="仿宋" w:hAnsi="仿宋" w:eastAsia="仿宋" w:cs="仿宋"/>
          <w:color w:val="auto"/>
          <w:sz w:val="32"/>
          <w:szCs w:val="32"/>
        </w:rPr>
      </w:pPr>
    </w:p>
    <w:p>
      <w:pPr>
        <w:widowControl/>
        <w:spacing w:line="579" w:lineRule="exact"/>
        <w:jc w:val="center"/>
        <w:rPr>
          <w:rFonts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冀教职成〔2023〕</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号</w:t>
      </w:r>
    </w:p>
    <w:p>
      <w:pPr>
        <w:pStyle w:val="2"/>
        <w:spacing w:before="0" w:line="579" w:lineRule="exact"/>
        <w:rPr>
          <w:color w:val="auto"/>
        </w:rPr>
      </w:pPr>
    </w:p>
    <w:p>
      <w:pPr>
        <w:widowControl/>
        <w:spacing w:line="579"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河北省教育厅</w:t>
      </w:r>
    </w:p>
    <w:p>
      <w:pPr>
        <w:widowControl/>
        <w:spacing w:line="579" w:lineRule="exact"/>
        <w:jc w:val="center"/>
        <w:rPr>
          <w:color w:val="auto"/>
        </w:rPr>
      </w:pPr>
      <w:r>
        <w:rPr>
          <w:rFonts w:hint="eastAsia" w:ascii="方正小标宋简体" w:hAnsi="方正小标宋简体" w:eastAsia="方正小标宋简体" w:cs="方正小标宋简体"/>
          <w:bCs/>
          <w:color w:val="auto"/>
          <w:kern w:val="0"/>
          <w:sz w:val="44"/>
          <w:szCs w:val="44"/>
        </w:rPr>
        <w:t>河北省人力资源和社会保障厅</w:t>
      </w:r>
    </w:p>
    <w:p>
      <w:pPr>
        <w:widowControl/>
        <w:spacing w:line="579" w:lineRule="exact"/>
        <w:jc w:val="center"/>
        <w:rPr>
          <w:color w:val="auto"/>
        </w:rPr>
      </w:pPr>
      <w:r>
        <w:rPr>
          <w:rFonts w:hint="eastAsia" w:ascii="方正小标宋简体" w:hAnsi="方正小标宋简体" w:eastAsia="方正小标宋简体" w:cs="方正小标宋简体"/>
          <w:bCs/>
          <w:color w:val="auto"/>
          <w:kern w:val="0"/>
          <w:sz w:val="44"/>
          <w:szCs w:val="44"/>
        </w:rPr>
        <w:t>河北省发展</w:t>
      </w:r>
      <w:r>
        <w:rPr>
          <w:rFonts w:hint="eastAsia" w:ascii="方正小标宋简体" w:hAnsi="方正小标宋简体" w:eastAsia="方正小标宋简体" w:cs="方正小标宋简体"/>
          <w:bCs/>
          <w:color w:val="auto"/>
          <w:kern w:val="0"/>
          <w:sz w:val="44"/>
          <w:szCs w:val="44"/>
          <w:lang w:val="en-US" w:eastAsia="zh-CN"/>
        </w:rPr>
        <w:t>和</w:t>
      </w:r>
      <w:r>
        <w:rPr>
          <w:rFonts w:hint="eastAsia" w:ascii="方正小标宋简体" w:hAnsi="方正小标宋简体" w:eastAsia="方正小标宋简体" w:cs="方正小标宋简体"/>
          <w:bCs/>
          <w:color w:val="auto"/>
          <w:kern w:val="0"/>
          <w:sz w:val="44"/>
          <w:szCs w:val="44"/>
        </w:rPr>
        <w:t>改革委员会</w:t>
      </w:r>
    </w:p>
    <w:p>
      <w:pPr>
        <w:widowControl/>
        <w:spacing w:line="579"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关于进一步完善职业学校</w:t>
      </w:r>
      <w:bookmarkStart w:id="0" w:name="_Hlk127117369"/>
      <w:r>
        <w:rPr>
          <w:rFonts w:hint="eastAsia" w:ascii="方正小标宋简体" w:hAnsi="方正小标宋简体" w:eastAsia="方正小标宋简体" w:cs="方正小标宋简体"/>
          <w:bCs/>
          <w:color w:val="auto"/>
          <w:kern w:val="0"/>
          <w:sz w:val="44"/>
          <w:szCs w:val="44"/>
        </w:rPr>
        <w:t>贯通培养模式</w:t>
      </w:r>
      <w:bookmarkEnd w:id="0"/>
    </w:p>
    <w:p>
      <w:pPr>
        <w:widowControl/>
        <w:spacing w:line="579" w:lineRule="exact"/>
        <w:jc w:val="center"/>
        <w:rPr>
          <w:rFonts w:ascii="方正小标宋_GBK" w:hAnsi="方正小标宋_GBK" w:eastAsia="方正小标宋_GBK" w:cs="方正小标宋_GBK"/>
          <w:bCs/>
          <w:color w:val="auto"/>
          <w:kern w:val="0"/>
          <w:sz w:val="44"/>
          <w:szCs w:val="36"/>
        </w:rPr>
      </w:pPr>
      <w:r>
        <w:rPr>
          <w:rFonts w:hint="eastAsia" w:ascii="方正小标宋简体" w:hAnsi="方正小标宋简体" w:eastAsia="方正小标宋简体" w:cs="方正小标宋简体"/>
          <w:bCs/>
          <w:color w:val="auto"/>
          <w:kern w:val="0"/>
          <w:sz w:val="44"/>
          <w:szCs w:val="44"/>
        </w:rPr>
        <w:t>工作的通知</w:t>
      </w:r>
    </w:p>
    <w:p>
      <w:pPr>
        <w:widowControl/>
        <w:spacing w:line="579" w:lineRule="exact"/>
        <w:rPr>
          <w:rFonts w:ascii="仿宋" w:hAnsi="仿宋" w:eastAsia="仿宋" w:cs="仿宋"/>
          <w:color w:val="auto"/>
          <w:kern w:val="0"/>
          <w:sz w:val="32"/>
          <w:szCs w:val="28"/>
        </w:rPr>
      </w:pPr>
    </w:p>
    <w:p>
      <w:pPr>
        <w:widowControl/>
        <w:spacing w:line="579" w:lineRule="exact"/>
        <w:rPr>
          <w:rFonts w:ascii="仿宋" w:hAnsi="仿宋" w:eastAsia="仿宋" w:cs="仿宋"/>
          <w:color w:val="auto"/>
          <w:sz w:val="32"/>
          <w:szCs w:val="32"/>
        </w:rPr>
      </w:pPr>
      <w:r>
        <w:rPr>
          <w:rFonts w:hint="eastAsia" w:ascii="仿宋" w:hAnsi="仿宋" w:eastAsia="仿宋" w:cs="仿宋"/>
          <w:color w:val="auto"/>
          <w:sz w:val="32"/>
          <w:szCs w:val="32"/>
        </w:rPr>
        <w:t>各市（含定州、辛集市）教育局、人力资源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改革委（局），雄安新区公共服务局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改革发展局，省属职业院校</w:t>
      </w:r>
      <w:r>
        <w:rPr>
          <w:rFonts w:hint="eastAsia" w:ascii="仿宋" w:hAnsi="仿宋" w:eastAsia="仿宋" w:cs="仿宋"/>
          <w:color w:val="auto"/>
          <w:sz w:val="32"/>
          <w:szCs w:val="32"/>
          <w:lang w:eastAsia="zh-CN"/>
        </w:rPr>
        <w:t>，</w:t>
      </w:r>
      <w:r>
        <w:rPr>
          <w:rFonts w:hint="eastAsia" w:ascii="仿宋" w:hAnsi="仿宋" w:eastAsia="仿宋" w:cs="仿宋"/>
          <w:bCs/>
          <w:color w:val="auto"/>
          <w:sz w:val="32"/>
          <w:szCs w:val="32"/>
        </w:rPr>
        <w:t>应用型本科学校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普通本科学校：</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为贯彻落实中共中央办公厅、国务院办公厅《关于深化现代职业教育体系建设改革的意见》（中办发〔2022〕65号）和《河北省教育厅等十部门关于深化现代职业教育体系建设改革的若干措施》（冀教职成〔2023〕2号）精神，深化职业教育供给侧改革，建立多形式衔接、多通道成长、可持续发展的现代职业教育体系，促进“3+2”“3+4”“5年一贯制”“2+2+2”等贯通培养模式健康发展，现通知如下：</w:t>
      </w:r>
    </w:p>
    <w:p>
      <w:pPr>
        <w:widowControl/>
        <w:numPr>
          <w:ilvl w:val="0"/>
          <w:numId w:val="0"/>
        </w:numPr>
        <w:shd w:val="clear" w:color="auto" w:fill="FFFFFF"/>
        <w:spacing w:line="579" w:lineRule="exact"/>
        <w:rPr>
          <w:rFonts w:ascii="黑体" w:hAnsi="黑体" w:eastAsia="黑体" w:cs="黑体"/>
          <w:color w:val="auto"/>
          <w:sz w:val="32"/>
          <w:szCs w:val="32"/>
        </w:rPr>
      </w:pPr>
      <w:r>
        <w:rPr>
          <w:rFonts w:hint="eastAsia" w:ascii="黑体" w:hAnsi="黑体" w:eastAsia="黑体" w:cs="黑体"/>
          <w:color w:val="auto"/>
          <w:sz w:val="32"/>
          <w:szCs w:val="32"/>
        </w:rPr>
        <w:t xml:space="preserve">    一、总体要求</w:t>
      </w:r>
    </w:p>
    <w:p>
      <w:pPr>
        <w:widowControl/>
        <w:spacing w:line="579" w:lineRule="exact"/>
        <w:ind w:firstLine="640"/>
        <w:rPr>
          <w:rFonts w:ascii="仿宋" w:hAnsi="仿宋" w:eastAsia="仿宋" w:cs="仿宋"/>
          <w:color w:val="auto"/>
          <w:sz w:val="32"/>
          <w:szCs w:val="32"/>
          <w:highlight w:val="yellow"/>
        </w:rPr>
      </w:pPr>
      <w:r>
        <w:rPr>
          <w:rFonts w:hint="eastAsia" w:ascii="仿宋" w:hAnsi="仿宋" w:eastAsia="仿宋" w:cs="仿宋"/>
          <w:color w:val="auto"/>
          <w:sz w:val="32"/>
          <w:szCs w:val="32"/>
        </w:rPr>
        <w:t>坚持“聚焦产业、聚焦技能，重视生源、重视质量，联合申报、联合实施”原则，充分调动企业积极性，发挥高等职业学校（含职教本科，以下简称“高职”）和应用型本科学校的骨干作用，打牢中等职业学校（含技工</w:t>
      </w:r>
      <w:r>
        <w:rPr>
          <w:rFonts w:hint="eastAsia" w:ascii="仿宋" w:hAnsi="仿宋" w:eastAsia="仿宋" w:cs="仿宋"/>
          <w:color w:val="auto"/>
          <w:sz w:val="32"/>
          <w:szCs w:val="32"/>
          <w:lang w:eastAsia="zh-CN"/>
        </w:rPr>
        <w:t>院</w:t>
      </w:r>
      <w:r>
        <w:rPr>
          <w:rFonts w:hint="eastAsia" w:ascii="仿宋" w:hAnsi="仿宋" w:eastAsia="仿宋" w:cs="仿宋"/>
          <w:color w:val="auto"/>
          <w:sz w:val="32"/>
          <w:szCs w:val="32"/>
        </w:rPr>
        <w:t>校，以下简称“中职”）育人基础，建立健全现代职业教育体系，为我省产业和企业培养更多高素质技术技能人才、能工巧匠、大国工匠。</w:t>
      </w:r>
    </w:p>
    <w:p>
      <w:pPr>
        <w:keepNext/>
        <w:widowControl/>
        <w:spacing w:line="579" w:lineRule="exact"/>
        <w:rPr>
          <w:color w:val="auto"/>
        </w:rPr>
      </w:pPr>
      <w:r>
        <w:rPr>
          <w:rFonts w:hint="eastAsia" w:ascii="黑体" w:hAnsi="黑体" w:eastAsia="黑体" w:cs="黑体"/>
          <w:color w:val="auto"/>
          <w:sz w:val="32"/>
          <w:szCs w:val="32"/>
        </w:rPr>
        <w:t xml:space="preserve">    二、贯通培养模式界定</w:t>
      </w:r>
    </w:p>
    <w:p>
      <w:pPr>
        <w:widowControl/>
        <w:spacing w:line="579" w:lineRule="exact"/>
        <w:ind w:firstLine="640" w:firstLineChars="200"/>
        <w:rPr>
          <w:color w:val="auto"/>
        </w:rPr>
      </w:pPr>
      <w:r>
        <w:rPr>
          <w:rFonts w:hint="eastAsia" w:ascii="楷体" w:hAnsi="楷体" w:eastAsia="楷体" w:cs="楷体"/>
          <w:color w:val="auto"/>
          <w:sz w:val="32"/>
          <w:szCs w:val="32"/>
        </w:rPr>
        <w:t>（一）“3+2”贯通培养模式。</w:t>
      </w:r>
      <w:r>
        <w:rPr>
          <w:rFonts w:hint="eastAsia" w:ascii="仿宋" w:hAnsi="仿宋" w:eastAsia="仿宋" w:cs="仿宋"/>
          <w:color w:val="auto"/>
          <w:sz w:val="32"/>
          <w:szCs w:val="32"/>
        </w:rPr>
        <w:t>是指中职与高职（以下简称“中高职”）联合开展“3+2”年的高素质技术技能人才培养，原则上在两校相同专业类中的相互适宜的专业上开展对接。学生在中职完成3年规定学业后，再到联办高职完成定制的2年学业课程，符合毕业要求的，取得普通高校全日制大学专科文凭。</w:t>
      </w:r>
    </w:p>
    <w:p>
      <w:pPr>
        <w:spacing w:line="579" w:lineRule="exact"/>
        <w:ind w:firstLine="640"/>
        <w:rPr>
          <w:rFonts w:ascii="仿宋" w:hAnsi="仿宋" w:eastAsia="仿宋" w:cs="仿宋"/>
          <w:color w:val="auto"/>
          <w:sz w:val="32"/>
          <w:szCs w:val="32"/>
        </w:rPr>
      </w:pPr>
      <w:r>
        <w:rPr>
          <w:rFonts w:hint="eastAsia" w:ascii="楷体" w:hAnsi="楷体" w:eastAsia="楷体" w:cs="楷体"/>
          <w:color w:val="auto"/>
          <w:sz w:val="32"/>
          <w:szCs w:val="32"/>
        </w:rPr>
        <w:t>（二）“3+4”贯通培养模式。</w:t>
      </w:r>
      <w:r>
        <w:rPr>
          <w:rFonts w:hint="eastAsia" w:ascii="仿宋" w:hAnsi="仿宋" w:eastAsia="仿宋" w:cs="仿宋"/>
          <w:color w:val="auto"/>
          <w:sz w:val="32"/>
          <w:szCs w:val="32"/>
        </w:rPr>
        <w:t>是指中职与职教本科、应用型本科及其他普通本科学校（以下简称“高校”）联合开展“3+4”年的高层次技术技能人才或应用技术人才培养，原则上在两校相同专业类中的相互适宜的专业上开展对接。学生在中职完成3年规定学业后，再到联办高校完成4年规定学业课程，符合毕业要求的，取得普通高校全日制大学本科文凭。</w:t>
      </w:r>
    </w:p>
    <w:p>
      <w:pPr>
        <w:spacing w:line="579" w:lineRule="exact"/>
        <w:ind w:firstLine="640"/>
        <w:rPr>
          <w:rFonts w:ascii="楷体" w:hAnsi="楷体" w:eastAsia="楷体" w:cs="楷体"/>
          <w:color w:val="auto"/>
          <w:sz w:val="32"/>
          <w:szCs w:val="32"/>
        </w:rPr>
      </w:pPr>
      <w:r>
        <w:rPr>
          <w:rFonts w:hint="eastAsia" w:ascii="楷体" w:hAnsi="楷体" w:eastAsia="楷体" w:cs="楷体"/>
          <w:color w:val="auto"/>
          <w:sz w:val="32"/>
          <w:szCs w:val="32"/>
        </w:rPr>
        <w:t>（三）“</w:t>
      </w:r>
      <w:r>
        <w:rPr>
          <w:rFonts w:ascii="楷体" w:hAnsi="楷体" w:eastAsia="楷体" w:cs="楷体"/>
          <w:color w:val="auto"/>
          <w:sz w:val="32"/>
          <w:szCs w:val="32"/>
        </w:rPr>
        <w:t>5年一贯制”贯通培养模式。</w:t>
      </w:r>
      <w:r>
        <w:rPr>
          <w:rFonts w:hint="eastAsia" w:ascii="仿宋" w:hAnsi="仿宋" w:eastAsia="仿宋" w:cs="仿宋"/>
          <w:color w:val="auto"/>
          <w:sz w:val="32"/>
          <w:szCs w:val="32"/>
        </w:rPr>
        <w:t>是指</w:t>
      </w:r>
      <w:r>
        <w:rPr>
          <w:rFonts w:hint="eastAsia" w:ascii="仿宋" w:hAnsi="仿宋" w:eastAsia="仿宋" w:cs="仿宋"/>
          <w:color w:val="auto"/>
          <w:sz w:val="32"/>
          <w:szCs w:val="32"/>
          <w:lang w:val="en-US" w:eastAsia="zh-CN"/>
        </w:rPr>
        <w:t>优质中职与</w:t>
      </w:r>
      <w:r>
        <w:rPr>
          <w:rFonts w:hint="eastAsia" w:ascii="仿宋" w:hAnsi="仿宋" w:eastAsia="仿宋" w:cs="仿宋"/>
          <w:color w:val="auto"/>
          <w:sz w:val="32"/>
          <w:szCs w:val="32"/>
        </w:rPr>
        <w:t>高职联合或高职单独开展</w:t>
      </w:r>
      <w:r>
        <w:rPr>
          <w:rFonts w:ascii="仿宋" w:hAnsi="仿宋" w:eastAsia="仿宋" w:cs="仿宋"/>
          <w:color w:val="auto"/>
          <w:sz w:val="32"/>
          <w:szCs w:val="32"/>
        </w:rPr>
        <w:t>5年的高素质技术技能人才培养，</w:t>
      </w:r>
      <w:r>
        <w:rPr>
          <w:rFonts w:hint="eastAsia" w:ascii="仿宋" w:hAnsi="仿宋" w:eastAsia="仿宋" w:cs="仿宋"/>
          <w:color w:val="auto"/>
          <w:sz w:val="32"/>
          <w:szCs w:val="32"/>
        </w:rPr>
        <w:t>中高职联合培养学校原则上选择两校技术技能含量高、培养周期长的专业精准对接，按照一个培养方案进行一贯制培养；高职单独培养学校应选择技术技能含量高、培养周期长的专业进行人才培养。学生完成</w:t>
      </w:r>
      <w:r>
        <w:rPr>
          <w:rFonts w:ascii="仿宋" w:hAnsi="仿宋" w:eastAsia="仿宋" w:cs="仿宋"/>
          <w:color w:val="auto"/>
          <w:sz w:val="32"/>
          <w:szCs w:val="32"/>
        </w:rPr>
        <w:t>5年规定学业课程，符合毕业要求的，取得普通高校全日制大学专科文凭。</w:t>
      </w:r>
    </w:p>
    <w:p>
      <w:pPr>
        <w:spacing w:line="579" w:lineRule="exact"/>
        <w:ind w:firstLine="640"/>
        <w:rPr>
          <w:rFonts w:ascii="仿宋" w:hAnsi="仿宋" w:eastAsia="仿宋" w:cs="Arial"/>
          <w:color w:val="auto"/>
          <w:szCs w:val="32"/>
          <w:shd w:val="clear" w:color="auto" w:fill="FFFFFF"/>
        </w:rPr>
      </w:pPr>
      <w:r>
        <w:rPr>
          <w:rFonts w:hint="eastAsia" w:ascii="楷体" w:hAnsi="楷体" w:eastAsia="楷体" w:cs="楷体"/>
          <w:color w:val="auto"/>
          <w:sz w:val="32"/>
          <w:szCs w:val="32"/>
        </w:rPr>
        <w:t>（四）</w:t>
      </w:r>
      <w:bookmarkStart w:id="1" w:name="_Hlk127352387"/>
      <w:r>
        <w:rPr>
          <w:rFonts w:hint="eastAsia" w:ascii="楷体" w:hAnsi="楷体" w:eastAsia="楷体" w:cs="楷体"/>
          <w:color w:val="auto"/>
          <w:sz w:val="32"/>
          <w:szCs w:val="32"/>
        </w:rPr>
        <w:t>“2+2+2”贯通培养</w:t>
      </w:r>
      <w:bookmarkEnd w:id="1"/>
      <w:r>
        <w:rPr>
          <w:rFonts w:hint="eastAsia" w:ascii="楷体" w:hAnsi="楷体" w:eastAsia="楷体" w:cs="楷体"/>
          <w:color w:val="auto"/>
          <w:sz w:val="32"/>
          <w:szCs w:val="32"/>
        </w:rPr>
        <w:t>模式。</w:t>
      </w:r>
      <w:r>
        <w:rPr>
          <w:rFonts w:hint="eastAsia" w:ascii="仿宋" w:hAnsi="仿宋" w:eastAsia="仿宋" w:cs="仿宋"/>
          <w:color w:val="auto"/>
          <w:sz w:val="32"/>
          <w:szCs w:val="32"/>
        </w:rPr>
        <w:t>是指企业、高职、中职联合开展“2+2+2”年的高素质技术技能人才培养，为企业提供高技术技能人才，为学生就业和发展提供服务。原则上选择企业相关岗位与高职、中职相互适宜的专业开展对接。学生在中职完成前2年规定的学业后，以企业为主安排为期2年的实训和岗位实践，学习锤炼岗位技术技能和提升综合职业能力；</w:t>
      </w:r>
      <w:r>
        <w:rPr>
          <w:rFonts w:hint="eastAsia" w:ascii="仿宋" w:hAnsi="仿宋" w:eastAsia="仿宋" w:cs="Arial"/>
          <w:color w:val="auto"/>
          <w:sz w:val="32"/>
          <w:szCs w:val="32"/>
          <w:shd w:val="clear" w:color="auto" w:fill="FFFFFF"/>
        </w:rPr>
        <w:t>第5年</w:t>
      </w:r>
      <w:r>
        <w:rPr>
          <w:rFonts w:hint="eastAsia" w:ascii="仿宋" w:hAnsi="仿宋" w:eastAsia="仿宋" w:cs="仿宋"/>
          <w:color w:val="auto"/>
          <w:sz w:val="32"/>
          <w:szCs w:val="32"/>
        </w:rPr>
        <w:t>再</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rPr>
        <w:t>联办高职为主安排2年学业课程，以学徒制、工学交替等方式学习，符合毕业要求的，取得普通高校全日制大学专科文凭。原则上毕业学生留在企业工作。</w:t>
      </w:r>
    </w:p>
    <w:p>
      <w:pPr>
        <w:adjustRightInd w:val="0"/>
        <w:snapToGrid w:val="0"/>
        <w:spacing w:line="579" w:lineRule="exact"/>
        <w:ind w:firstLine="640" w:firstLineChars="200"/>
        <w:rPr>
          <w:rFonts w:ascii="仿宋" w:hAnsi="仿宋" w:eastAsia="仿宋" w:cs="Arial"/>
          <w:color w:val="auto"/>
          <w:sz w:val="32"/>
          <w:szCs w:val="32"/>
          <w:shd w:val="clear" w:color="auto" w:fill="FFFFFF"/>
        </w:rPr>
      </w:pPr>
      <w:r>
        <w:rPr>
          <w:rFonts w:hint="eastAsia" w:ascii="仿宋" w:hAnsi="仿宋" w:eastAsia="仿宋" w:cs="Arial"/>
          <w:color w:val="auto"/>
          <w:sz w:val="32"/>
          <w:szCs w:val="32"/>
          <w:shd w:val="clear" w:color="auto" w:fill="FFFFFF"/>
        </w:rPr>
        <w:t>企业参与招生和人才培养的全过程。中职招生即企业预招工，企业与学生签订预就业协议，家长签署知情同意书。学生第3年完成中职学业后，符合中职毕业要求的，可获得中职毕业证书。</w:t>
      </w:r>
      <w:r>
        <w:rPr>
          <w:rFonts w:hint="eastAsia" w:ascii="仿宋" w:hAnsi="仿宋" w:eastAsia="仿宋" w:cs="仿宋"/>
          <w:color w:val="auto"/>
          <w:sz w:val="32"/>
          <w:szCs w:val="32"/>
        </w:rPr>
        <w:t>第4年学生与高职和企业签订三方定向培养协议（学徒培养协议），与企业签订劳动就业合同成为企业员工，而后方可获得相应高职注册入学资格</w:t>
      </w:r>
      <w:r>
        <w:rPr>
          <w:rFonts w:hint="eastAsia" w:ascii="仿宋" w:hAnsi="仿宋" w:eastAsia="仿宋" w:cs="Arial"/>
          <w:color w:val="auto"/>
          <w:sz w:val="32"/>
          <w:szCs w:val="32"/>
          <w:shd w:val="clear" w:color="auto" w:fill="FFFFFF"/>
        </w:rPr>
        <w:t>。</w:t>
      </w:r>
      <w:r>
        <w:rPr>
          <w:rFonts w:hint="eastAsia" w:ascii="仿宋" w:hAnsi="仿宋" w:eastAsia="仿宋" w:cs="仿宋"/>
          <w:color w:val="auto"/>
          <w:sz w:val="32"/>
          <w:szCs w:val="32"/>
        </w:rPr>
        <w:t>如未取得高职入学资格，则退出此培养程序。</w:t>
      </w:r>
    </w:p>
    <w:p>
      <w:pPr>
        <w:adjustRightInd w:val="0"/>
        <w:snapToGrid w:val="0"/>
        <w:spacing w:line="579" w:lineRule="exact"/>
        <w:ind w:firstLine="640" w:firstLineChars="200"/>
        <w:rPr>
          <w:rFonts w:ascii="仿宋" w:hAnsi="仿宋" w:eastAsia="仿宋" w:cs="Arial"/>
          <w:color w:val="auto"/>
          <w:szCs w:val="32"/>
          <w:shd w:val="clear" w:color="auto" w:fill="FFFFFF"/>
        </w:rPr>
      </w:pPr>
      <w:r>
        <w:rPr>
          <w:rFonts w:hint="eastAsia" w:ascii="仿宋" w:hAnsi="仿宋" w:eastAsia="仿宋" w:cs="Arial"/>
          <w:color w:val="auto"/>
          <w:sz w:val="32"/>
          <w:szCs w:val="32"/>
          <w:shd w:val="clear" w:color="auto" w:fill="FFFFFF"/>
        </w:rPr>
        <w:t>原则上企业、中职、高职的地理位置应在同一区域（如同一市域），或距离较近，便于联合培养。若干企业可组成培养联合体。</w:t>
      </w:r>
    </w:p>
    <w:p>
      <w:pPr>
        <w:pStyle w:val="5"/>
        <w:spacing w:before="0" w:after="0" w:line="579" w:lineRule="exact"/>
        <w:ind w:firstLine="640"/>
        <w:jc w:val="both"/>
        <w:rPr>
          <w:rFonts w:ascii="黑体" w:hAnsi="黑体" w:eastAsia="黑体" w:cs="黑体"/>
          <w:b w:val="0"/>
          <w:bCs w:val="0"/>
          <w:color w:val="auto"/>
        </w:rPr>
      </w:pPr>
      <w:r>
        <w:rPr>
          <w:rFonts w:hint="eastAsia" w:ascii="黑体" w:hAnsi="黑体" w:eastAsia="黑体" w:cs="黑体"/>
          <w:b w:val="0"/>
          <w:bCs w:val="0"/>
          <w:color w:val="auto"/>
        </w:rPr>
        <w:t>三、贯通培养申报</w:t>
      </w:r>
    </w:p>
    <w:p>
      <w:pPr>
        <w:widowControl/>
        <w:spacing w:line="579" w:lineRule="exact"/>
        <w:ind w:firstLine="640" w:firstLineChars="200"/>
        <w:rPr>
          <w:rFonts w:ascii="仿宋" w:hAnsi="仿宋" w:eastAsia="仿宋" w:cs="仿宋"/>
          <w:color w:val="auto"/>
          <w:sz w:val="32"/>
          <w:szCs w:val="32"/>
        </w:rPr>
      </w:pPr>
      <w:r>
        <w:rPr>
          <w:rFonts w:hint="eastAsia" w:ascii="楷体" w:hAnsi="楷体" w:eastAsia="楷体" w:cs="楷体"/>
          <w:color w:val="auto"/>
          <w:sz w:val="32"/>
          <w:szCs w:val="32"/>
        </w:rPr>
        <w:t>（一）申报条件。</w:t>
      </w:r>
      <w:r>
        <w:rPr>
          <w:rFonts w:hint="eastAsia" w:ascii="仿宋" w:hAnsi="仿宋" w:eastAsia="仿宋" w:cs="仿宋"/>
          <w:color w:val="auto"/>
          <w:sz w:val="32"/>
          <w:szCs w:val="32"/>
        </w:rPr>
        <w:t>申报学校近三年未发生过违规办学行为，未出现过重大安全责任事故或群体性事件，在校生</w:t>
      </w:r>
      <w:r>
        <w:rPr>
          <w:rFonts w:hint="eastAsia" w:ascii="仿宋" w:hAnsi="仿宋" w:eastAsia="仿宋" w:cs="仿宋"/>
          <w:color w:val="auto"/>
          <w:sz w:val="32"/>
          <w:szCs w:val="32"/>
          <w:lang w:val="en-US" w:eastAsia="zh-CN"/>
        </w:rPr>
        <w:t>一般</w:t>
      </w:r>
      <w:r>
        <w:rPr>
          <w:rFonts w:hint="eastAsia" w:ascii="仿宋" w:hAnsi="仿宋" w:eastAsia="仿宋" w:cs="仿宋"/>
          <w:color w:val="auto"/>
          <w:sz w:val="32"/>
          <w:szCs w:val="32"/>
        </w:rPr>
        <w:t>不少于1500人</w:t>
      </w:r>
      <w:r>
        <w:rPr>
          <w:rFonts w:hint="eastAsia" w:ascii="仿宋" w:hAnsi="仿宋" w:eastAsia="仿宋" w:cs="仿宋"/>
          <w:color w:val="auto"/>
          <w:sz w:val="32"/>
          <w:szCs w:val="32"/>
          <w:lang w:val="en-US" w:eastAsia="zh-CN"/>
        </w:rPr>
        <w:t>（专业体校除外，技工院校不少于1200人）</w:t>
      </w:r>
      <w:r>
        <w:rPr>
          <w:rFonts w:hint="eastAsia" w:ascii="仿宋" w:hAnsi="仿宋" w:eastAsia="仿宋" w:cs="仿宋"/>
          <w:color w:val="auto"/>
          <w:sz w:val="32"/>
          <w:szCs w:val="32"/>
        </w:rPr>
        <w:t>。中职与联办高校申报“3+2”“3+4”“5年一贯制”“2+2+2”贯通培养专业必须与经济</w:t>
      </w:r>
      <w:r>
        <w:rPr>
          <w:rFonts w:hint="eastAsia" w:ascii="仿宋" w:hAnsi="仿宋" w:eastAsia="仿宋" w:cs="仿宋"/>
          <w:color w:val="auto"/>
          <w:sz w:val="32"/>
          <w:szCs w:val="32"/>
          <w:lang w:val="en-US" w:eastAsia="zh-CN"/>
        </w:rPr>
        <w:t>社会</w:t>
      </w:r>
      <w:r>
        <w:rPr>
          <w:rFonts w:hint="eastAsia" w:ascii="仿宋" w:hAnsi="仿宋" w:eastAsia="仿宋" w:cs="仿宋"/>
          <w:color w:val="auto"/>
          <w:sz w:val="32"/>
          <w:szCs w:val="32"/>
        </w:rPr>
        <w:t>和产业发展需求高度契合,必须紧密对接我省战略性新兴产业和重点发展产业需求，或是产业发展急需和民生紧缺领域专业，艺术类专业限定在生产制作文化或工艺产品、民族传统艺术表演等方向的专业；必须在全国职业院校专业设置管理系统</w:t>
      </w:r>
      <w:r>
        <w:rPr>
          <w:rFonts w:hint="eastAsia" w:ascii="仿宋" w:hAnsi="仿宋" w:eastAsia="仿宋" w:cs="仿宋"/>
          <w:color w:val="auto"/>
          <w:sz w:val="32"/>
          <w:szCs w:val="32"/>
          <w:lang w:eastAsia="zh-CN"/>
        </w:rPr>
        <w:t>（或全国技工院校信息管理系统）</w:t>
      </w:r>
      <w:r>
        <w:rPr>
          <w:rFonts w:hint="eastAsia" w:ascii="仿宋" w:hAnsi="仿宋" w:eastAsia="仿宋" w:cs="仿宋"/>
          <w:color w:val="auto"/>
          <w:sz w:val="32"/>
          <w:szCs w:val="32"/>
        </w:rPr>
        <w:t>备案且适宜对接，开办年限原则上不低于3年，年招生不低于100人，“2+2+2”贯通培养模式以及体育、艺术类等小班教学专业可适度降低规模。联办高校为独立设置的全日制普通高校；签订并履行“3+2”“3+4”“5年一贯制”“2+2+2”贯通培养协议，确保高校能够如期接收通过转段考试或学业合格的中职毕业生。此外，中职或高校还需分别满足以下条件：</w:t>
      </w:r>
    </w:p>
    <w:p>
      <w:pPr>
        <w:spacing w:line="579"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1.“3+2”贯通培养。</w:t>
      </w:r>
      <w:r>
        <w:rPr>
          <w:rFonts w:hint="eastAsia" w:ascii="仿宋" w:hAnsi="仿宋" w:eastAsia="仿宋" w:cs="仿宋"/>
          <w:color w:val="auto"/>
          <w:sz w:val="32"/>
          <w:szCs w:val="32"/>
        </w:rPr>
        <w:t>遵循以下原则遴选的中职可与高职联合申报“3+2”贯通培养联合办学。一是上年度中等职业教育质量提升工程项目学校（</w:t>
      </w:r>
      <w:r>
        <w:rPr>
          <w:rFonts w:hint="eastAsia" w:ascii="仿宋" w:hAnsi="仿宋" w:eastAsia="仿宋" w:cs="仿宋"/>
          <w:color w:val="auto"/>
          <w:sz w:val="32"/>
          <w:szCs w:val="32"/>
          <w:lang w:eastAsia="zh-CN"/>
        </w:rPr>
        <w:t>即</w:t>
      </w:r>
      <w:r>
        <w:rPr>
          <w:rFonts w:hint="eastAsia" w:ascii="仿宋" w:hAnsi="仿宋" w:eastAsia="仿宋" w:cs="仿宋"/>
          <w:color w:val="auto"/>
          <w:sz w:val="32"/>
          <w:szCs w:val="32"/>
        </w:rPr>
        <w:t>办学绩效评价全省排在前120名的中职）和重点培育发展进位的30所种子学校；二是办学绩效评价排在全省前120名之后，但上年度办学绩效评价B档及以上的学校（</w:t>
      </w:r>
      <w:r>
        <w:rPr>
          <w:rFonts w:hint="eastAsia" w:ascii="仿宋" w:hAnsi="仿宋" w:eastAsia="仿宋" w:cs="仿宋"/>
          <w:color w:val="auto"/>
          <w:sz w:val="32"/>
          <w:szCs w:val="32"/>
          <w:lang w:eastAsia="zh-CN"/>
        </w:rPr>
        <w:t>或办学水平评估合格及以上的技工院校）</w:t>
      </w:r>
      <w:r>
        <w:rPr>
          <w:rFonts w:hint="eastAsia" w:ascii="仿宋" w:hAnsi="仿宋" w:eastAsia="仿宋" w:cs="仿宋"/>
          <w:color w:val="auto"/>
          <w:sz w:val="32"/>
          <w:szCs w:val="32"/>
        </w:rPr>
        <w:t>；三是支持通过资源整合建设迁入职教园区或位于重点开发建设新区内的学校；四是支持开办紧缺或服务“一老一小”相关专业的学校。</w:t>
      </w:r>
    </w:p>
    <w:p>
      <w:pPr>
        <w:pStyle w:val="4"/>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640" w:firstLineChars="200"/>
        <w:jc w:val="left"/>
        <w:rPr>
          <w:rFonts w:hint="eastAsia" w:eastAsia="仿宋"/>
          <w:color w:val="auto"/>
          <w:lang w:eastAsia="zh-CN"/>
        </w:rPr>
      </w:pPr>
      <w:r>
        <w:rPr>
          <w:rFonts w:hint="eastAsia" w:ascii="仿宋" w:eastAsia="仿宋" w:cs="仿宋"/>
          <w:color w:val="auto"/>
          <w:sz w:val="32"/>
          <w:szCs w:val="32"/>
          <w:lang w:val="en-US" w:eastAsia="zh-CN"/>
        </w:rPr>
        <w:t>专业体育运动学校可与高职相适宜专业</w:t>
      </w:r>
      <w:r>
        <w:rPr>
          <w:rFonts w:hint="eastAsia" w:ascii="仿宋" w:eastAsia="仿宋" w:cs="仿宋"/>
          <w:color w:val="auto"/>
          <w:sz w:val="32"/>
          <w:szCs w:val="32"/>
        </w:rPr>
        <w:t>对接，但申报“3+2”贯通培养学生必须具有体育运动学校3年中专学籍且代表河北省在国家体育总局（项目中心、协会）完成全国运动员注册</w:t>
      </w:r>
      <w:r>
        <w:rPr>
          <w:rFonts w:hint="eastAsia" w:ascii="仿宋" w:eastAsia="仿宋" w:cs="仿宋"/>
          <w:color w:val="auto"/>
          <w:sz w:val="32"/>
          <w:szCs w:val="32"/>
          <w:lang w:eastAsia="zh-CN"/>
        </w:rPr>
        <w:t>。</w:t>
      </w:r>
    </w:p>
    <w:p>
      <w:pPr>
        <w:spacing w:line="579" w:lineRule="exact"/>
        <w:ind w:firstLine="640"/>
        <w:rPr>
          <w:rFonts w:hint="eastAsia" w:ascii="仿宋" w:hAnsi="仿宋" w:eastAsia="仿宋" w:cs="仿宋"/>
          <w:color w:val="auto"/>
          <w:sz w:val="32"/>
          <w:szCs w:val="32"/>
        </w:rPr>
      </w:pPr>
      <w:r>
        <w:rPr>
          <w:rFonts w:hint="eastAsia" w:ascii="仿宋" w:hAnsi="仿宋" w:eastAsia="仿宋" w:cs="仿宋"/>
          <w:b/>
          <w:bCs/>
          <w:color w:val="auto"/>
          <w:sz w:val="32"/>
          <w:szCs w:val="32"/>
        </w:rPr>
        <w:t>2.“3+4”贯通培养。</w:t>
      </w:r>
      <w:r>
        <w:rPr>
          <w:rFonts w:hint="eastAsia" w:ascii="仿宋" w:hAnsi="仿宋" w:eastAsia="仿宋" w:cs="仿宋"/>
          <w:color w:val="auto"/>
          <w:sz w:val="32"/>
          <w:szCs w:val="32"/>
        </w:rPr>
        <w:t>同时满足以下条件的中职可与高校联合申报“3+4”贯通培养联合办学。一是上年度中等职业教育质量提升工程项目学校中精品校和名牌校第一档学校（</w:t>
      </w:r>
      <w:r>
        <w:rPr>
          <w:rFonts w:hint="eastAsia" w:ascii="仿宋" w:hAnsi="仿宋" w:eastAsia="仿宋" w:cs="仿宋"/>
          <w:color w:val="auto"/>
          <w:sz w:val="32"/>
          <w:szCs w:val="32"/>
          <w:lang w:val="en-US" w:eastAsia="zh-CN"/>
        </w:rPr>
        <w:t>即中职办学绩效评价全省排在前50名的学校</w:t>
      </w:r>
      <w:r>
        <w:rPr>
          <w:rFonts w:hint="eastAsia" w:ascii="仿宋" w:hAnsi="仿宋" w:eastAsia="仿宋" w:cs="仿宋"/>
          <w:color w:val="auto"/>
          <w:sz w:val="32"/>
          <w:szCs w:val="32"/>
        </w:rPr>
        <w:t>）；二是中职对接高校的专业为省级骨干和特色专业（或省级及以上优质专业）。</w:t>
      </w:r>
    </w:p>
    <w:p>
      <w:pPr>
        <w:pStyle w:val="4"/>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480" w:firstLineChars="150"/>
        <w:jc w:val="left"/>
        <w:rPr>
          <w:rFonts w:hint="eastAsia" w:eastAsia="仿宋"/>
          <w:color w:val="auto"/>
          <w:lang w:val="en-US" w:eastAsia="zh-CN"/>
        </w:rPr>
      </w:pPr>
      <w:r>
        <w:rPr>
          <w:rFonts w:hint="eastAsia" w:ascii="仿宋" w:hAnsi="仿宋" w:eastAsia="仿宋" w:cs="仿宋"/>
          <w:color w:val="auto"/>
          <w:sz w:val="32"/>
          <w:szCs w:val="32"/>
          <w:lang w:val="en-US" w:eastAsia="zh-CN"/>
        </w:rPr>
        <w:t xml:space="preserve"> </w:t>
      </w:r>
      <w:r>
        <w:rPr>
          <w:rFonts w:hint="eastAsia" w:ascii="仿宋" w:eastAsia="仿宋" w:cs="仿宋"/>
          <w:color w:val="auto"/>
          <w:sz w:val="32"/>
          <w:szCs w:val="32"/>
        </w:rPr>
        <w:t>专业体育运动学校可与河北体育学院及其他高校体育类相关专业对接，但申报“3+4”贯通培养学生必须符合具有中专3年学籍且代表河北省在国家体育总局（项目中心、协会）完成全国运动员注册</w:t>
      </w:r>
      <w:r>
        <w:rPr>
          <w:rFonts w:hint="eastAsia" w:ascii="仿宋" w:eastAsia="仿宋" w:cs="仿宋"/>
          <w:color w:val="auto"/>
          <w:sz w:val="32"/>
          <w:szCs w:val="32"/>
          <w:lang w:eastAsia="zh-CN"/>
        </w:rPr>
        <w:t>。</w:t>
      </w:r>
    </w:p>
    <w:p>
      <w:pPr>
        <w:pStyle w:val="2"/>
        <w:rPr>
          <w:rFonts w:eastAsia="仿宋"/>
          <w:color w:val="auto"/>
        </w:rPr>
      </w:pPr>
      <w:r>
        <w:rPr>
          <w:rFonts w:hint="eastAsia" w:ascii="仿宋" w:hAnsi="仿宋" w:eastAsia="仿宋" w:cs="仿宋"/>
          <w:color w:val="auto"/>
          <w:sz w:val="32"/>
          <w:szCs w:val="32"/>
        </w:rPr>
        <w:t xml:space="preserve">    高校“3+4”联合办学主体应为高职本科、应用型本科和批准（或现有）的其他普通本科“3+4”试点学校。</w:t>
      </w:r>
    </w:p>
    <w:p>
      <w:pPr>
        <w:spacing w:line="579" w:lineRule="exact"/>
        <w:ind w:firstLine="643" w:firstLineChars="200"/>
        <w:rPr>
          <w:rFonts w:ascii="仿宋" w:hAnsi="仿宋" w:eastAsia="仿宋" w:cs="仿宋"/>
          <w:bCs/>
          <w:color w:val="auto"/>
          <w:sz w:val="32"/>
          <w:szCs w:val="32"/>
          <w:highlight w:val="yellow"/>
        </w:rPr>
      </w:pPr>
      <w:r>
        <w:rPr>
          <w:rFonts w:ascii="仿宋" w:hAnsi="仿宋" w:eastAsia="仿宋" w:cs="仿宋"/>
          <w:b/>
          <w:bCs/>
          <w:color w:val="auto"/>
          <w:sz w:val="32"/>
          <w:szCs w:val="32"/>
        </w:rPr>
        <w:t>3.“5年一贯制”贯通培养。</w:t>
      </w:r>
      <w:r>
        <w:rPr>
          <w:rFonts w:hint="eastAsia" w:ascii="仿宋" w:hAnsi="仿宋" w:eastAsia="仿宋" w:cs="仿宋"/>
          <w:color w:val="auto"/>
          <w:sz w:val="32"/>
          <w:szCs w:val="32"/>
        </w:rPr>
        <w:t>同时满足以下条件的中职可与高职联合开展“</w:t>
      </w:r>
      <w:r>
        <w:rPr>
          <w:rFonts w:ascii="仿宋" w:hAnsi="仿宋" w:eastAsia="仿宋" w:cs="仿宋"/>
          <w:color w:val="auto"/>
          <w:sz w:val="32"/>
          <w:szCs w:val="32"/>
        </w:rPr>
        <w:t>5年一贯制”</w:t>
      </w:r>
      <w:r>
        <w:rPr>
          <w:rFonts w:hint="eastAsia" w:ascii="仿宋" w:hAnsi="仿宋" w:eastAsia="仿宋" w:cs="仿宋"/>
          <w:color w:val="auto"/>
          <w:sz w:val="32"/>
          <w:szCs w:val="32"/>
        </w:rPr>
        <w:t>办学。一是中高职对接专业为技术技能含量高、培养周期长的专业或是非物质文化遗产技艺传承相应专业；二是中高职专业能够精准对接</w:t>
      </w:r>
      <w:r>
        <w:rPr>
          <w:rFonts w:hint="eastAsia" w:ascii="仿宋" w:hAnsi="仿宋" w:eastAsia="仿宋" w:cs="仿宋"/>
          <w:bCs/>
          <w:color w:val="auto"/>
          <w:sz w:val="32"/>
          <w:szCs w:val="32"/>
        </w:rPr>
        <w:t>。</w:t>
      </w:r>
    </w:p>
    <w:p>
      <w:pPr>
        <w:pStyle w:val="2"/>
        <w:spacing w:before="0" w:line="579" w:lineRule="exact"/>
        <w:ind w:firstLine="640"/>
        <w:rPr>
          <w:rFonts w:ascii="仿宋" w:hAnsi="仿宋" w:eastAsia="仿宋" w:cs="仿宋"/>
          <w:bCs/>
          <w:color w:val="auto"/>
          <w:sz w:val="32"/>
          <w:szCs w:val="32"/>
        </w:rPr>
      </w:pPr>
      <w:r>
        <w:rPr>
          <w:rFonts w:hint="eastAsia" w:ascii="仿宋" w:hAnsi="仿宋" w:eastAsia="仿宋" w:cs="仿宋"/>
          <w:color w:val="auto"/>
          <w:sz w:val="32"/>
          <w:szCs w:val="32"/>
        </w:rPr>
        <w:t>高职技术技能含量高、培养周期长的专业可单独申报“5年一贯制”贯通培养，</w:t>
      </w:r>
      <w:r>
        <w:rPr>
          <w:rFonts w:hint="eastAsia" w:ascii="仿宋" w:hAnsi="仿宋" w:eastAsia="仿宋" w:cs="仿宋"/>
          <w:bCs/>
          <w:color w:val="auto"/>
          <w:sz w:val="32"/>
          <w:szCs w:val="32"/>
        </w:rPr>
        <w:t>不得擅自举办任何形式、任何名义的校外班。应用型本科或普通本科学校原则上不能申报“5年一贯制”贯通培养招生专业。</w:t>
      </w:r>
    </w:p>
    <w:p>
      <w:pPr>
        <w:numPr>
          <w:ilvl w:val="0"/>
          <w:numId w:val="1"/>
        </w:numPr>
        <w:spacing w:line="579" w:lineRule="exact"/>
        <w:ind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color w:val="auto"/>
          <w:sz w:val="32"/>
          <w:szCs w:val="32"/>
        </w:rPr>
        <w:t>“2+2+2”</w:t>
      </w:r>
      <w:r>
        <w:rPr>
          <w:rFonts w:hint="eastAsia" w:ascii="仿宋" w:hAnsi="仿宋" w:eastAsia="仿宋" w:cs="仿宋"/>
          <w:b/>
          <w:bCs/>
          <w:color w:val="auto"/>
          <w:sz w:val="32"/>
          <w:szCs w:val="32"/>
        </w:rPr>
        <w:t>贯通</w:t>
      </w:r>
      <w:r>
        <w:rPr>
          <w:rFonts w:hint="eastAsia" w:ascii="仿宋" w:hAnsi="仿宋" w:eastAsia="仿宋" w:cs="仿宋"/>
          <w:b/>
          <w:color w:val="auto"/>
          <w:sz w:val="32"/>
          <w:szCs w:val="32"/>
        </w:rPr>
        <w:t>培养。</w:t>
      </w:r>
      <w:r>
        <w:rPr>
          <w:rFonts w:hint="eastAsia" w:ascii="仿宋" w:hAnsi="仿宋" w:eastAsia="仿宋" w:cs="仿宋"/>
          <w:color w:val="auto"/>
          <w:sz w:val="32"/>
          <w:szCs w:val="32"/>
        </w:rPr>
        <w:t>积极支持具备以下条件的中职、高职与企业联合开展“2+2+2”贯通培养试点。中职、高职与企业应自愿签订并履行“2+2+2”联合培养协议，明确职责与分工、权力与义务、遇到不可抗力情况或争议的解决办法等；共同制定技术技能人才培养方案、共同招生。高职应确保“2+2+2”贯通培养学生完成3年中职学业后，符合毕业要求的如期升入高职，继续与协议企业联合培养。</w:t>
      </w:r>
    </w:p>
    <w:p>
      <w:pPr>
        <w:pStyle w:val="2"/>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企业应为多年开展校企合作的实体企业，近三年未被列入“信用中国”网（http://www.creditchina.gov.cn ）、中国政府采购网（http://www.ccgp.gov.cn ）、中国执行信息公开网（http：//zxgk.court.gov.cn/）等渠道的失信被执行人名单、重大税收违法失信主体、政府采购严重违法失信行为记录名单。</w:t>
      </w:r>
    </w:p>
    <w:p>
      <w:pPr>
        <w:pStyle w:val="2"/>
        <w:shd w:val="solid" w:color="FFFFFF" w:fill="auto"/>
        <w:autoSpaceDN w:val="0"/>
        <w:spacing w:before="0" w:line="579" w:lineRule="exact"/>
        <w:ind w:firstLine="640" w:firstLineChars="200"/>
        <w:rPr>
          <w:rFonts w:ascii="仿宋" w:hAnsi="仿宋" w:eastAsia="仿宋" w:cs="仿宋"/>
          <w:color w:val="auto"/>
          <w:sz w:val="32"/>
          <w:szCs w:val="32"/>
        </w:rPr>
      </w:pPr>
      <w:r>
        <w:rPr>
          <w:rFonts w:hint="eastAsia" w:ascii="楷体" w:hAnsi="楷体" w:eastAsia="楷体" w:cs="楷体"/>
          <w:bCs/>
          <w:color w:val="auto"/>
          <w:sz w:val="32"/>
          <w:szCs w:val="32"/>
        </w:rPr>
        <w:t>（二）专业申报。</w:t>
      </w:r>
      <w:r>
        <w:rPr>
          <w:rFonts w:hint="eastAsia" w:ascii="仿宋" w:hAnsi="仿宋" w:eastAsia="仿宋" w:cs="仿宋"/>
          <w:color w:val="auto"/>
          <w:sz w:val="32"/>
          <w:szCs w:val="32"/>
        </w:rPr>
        <w:t>在省教育厅、人</w:t>
      </w:r>
      <w:r>
        <w:rPr>
          <w:rFonts w:hint="eastAsia" w:ascii="仿宋" w:hAnsi="仿宋" w:eastAsia="仿宋" w:cs="仿宋"/>
          <w:color w:val="auto"/>
          <w:sz w:val="32"/>
          <w:szCs w:val="32"/>
          <w:lang w:eastAsia="zh-CN"/>
        </w:rPr>
        <w:t>力资源和社会保障</w:t>
      </w:r>
      <w:r>
        <w:rPr>
          <w:rFonts w:hint="eastAsia" w:ascii="仿宋" w:hAnsi="仿宋" w:eastAsia="仿宋" w:cs="仿宋"/>
          <w:color w:val="auto"/>
          <w:sz w:val="32"/>
          <w:szCs w:val="32"/>
        </w:rPr>
        <w:t>厅的指导下，各市教育、人</w:t>
      </w:r>
      <w:r>
        <w:rPr>
          <w:rFonts w:hint="eastAsia" w:ascii="仿宋" w:hAnsi="仿宋" w:eastAsia="仿宋" w:cs="仿宋"/>
          <w:color w:val="auto"/>
          <w:sz w:val="32"/>
          <w:szCs w:val="32"/>
          <w:lang w:eastAsia="zh-CN"/>
        </w:rPr>
        <w:t>力资源和社会保障</w:t>
      </w:r>
      <w:r>
        <w:rPr>
          <w:rFonts w:hint="eastAsia" w:ascii="仿宋" w:hAnsi="仿宋" w:eastAsia="仿宋" w:cs="仿宋"/>
          <w:color w:val="auto"/>
          <w:sz w:val="32"/>
          <w:szCs w:val="32"/>
        </w:rPr>
        <w:t>部门组织协调本地中职与相关高校进行贯通培养招生专业申报，省属中职与联办高校直接向省主管部门进行贯通培养招生专业申报。</w:t>
      </w:r>
      <w:r>
        <w:rPr>
          <w:rFonts w:hint="eastAsia" w:ascii="仿宋" w:hAnsi="仿宋" w:eastAsia="仿宋" w:cs="仿宋"/>
          <w:color w:val="auto"/>
          <w:sz w:val="32"/>
          <w:szCs w:val="32"/>
          <w:lang w:val="en-US" w:eastAsia="zh-CN"/>
        </w:rPr>
        <w:t>申报招生计划的有关要求另见年度编报招生计划通知。</w:t>
      </w:r>
      <w:r>
        <w:rPr>
          <w:rFonts w:hint="eastAsia" w:ascii="仿宋" w:hAnsi="仿宋" w:eastAsia="仿宋" w:cs="仿宋"/>
          <w:color w:val="auto"/>
          <w:sz w:val="32"/>
          <w:szCs w:val="32"/>
        </w:rPr>
        <w:t>参与联合培养的高校要加强对普通高考、高职单招、“3+2”“3+4”“5年一贯制”“2+2+2”等各类招生的统筹规划，把“3+2”“3+4”“5年一贯制”“2+2+2”转段或升学学生纳入本校当年招生计划，确保基本办学条件满足培养需求。贯通培养专业必须符合申报条件，联办规模遵循以下要求：</w:t>
      </w:r>
    </w:p>
    <w:p>
      <w:pPr>
        <w:pStyle w:val="5"/>
        <w:spacing w:before="0" w:after="0" w:line="579" w:lineRule="exact"/>
        <w:ind w:firstLine="643" w:firstLineChars="200"/>
        <w:jc w:val="both"/>
        <w:rPr>
          <w:rFonts w:ascii="仿宋" w:hAnsi="仿宋" w:eastAsia="仿宋" w:cs="仿宋"/>
          <w:b w:val="0"/>
          <w:bCs w:val="0"/>
          <w:color w:val="auto"/>
        </w:rPr>
      </w:pPr>
      <w:r>
        <w:rPr>
          <w:rFonts w:hint="eastAsia" w:ascii="仿宋" w:hAnsi="仿宋" w:eastAsia="仿宋" w:cs="仿宋"/>
          <w:color w:val="auto"/>
        </w:rPr>
        <w:t>1.“3+2”贯通培养。</w:t>
      </w:r>
      <w:r>
        <w:rPr>
          <w:rFonts w:hint="eastAsia" w:ascii="仿宋" w:hAnsi="仿宋" w:eastAsia="仿宋" w:cs="仿宋"/>
          <w:b w:val="0"/>
          <w:bCs w:val="0"/>
          <w:color w:val="auto"/>
        </w:rPr>
        <w:t>原则上申报“3+2”招生专业个数不限，申报“3+2”招生专业和人数以与联办高职协商的结果为准；一个专业只能与2所高职的专业对接，可对接2-3个同专业类的不同专业。中高职均需在招生专业备案和注册学籍时注明“3+2”贯通培养。</w:t>
      </w:r>
    </w:p>
    <w:p>
      <w:pPr>
        <w:pStyle w:val="5"/>
        <w:spacing w:before="0" w:after="0" w:line="579" w:lineRule="exact"/>
        <w:ind w:firstLine="643" w:firstLineChars="200"/>
        <w:jc w:val="both"/>
        <w:rPr>
          <w:rFonts w:ascii="仿宋" w:hAnsi="仿宋" w:eastAsia="仿宋" w:cs="仿宋"/>
          <w:b w:val="0"/>
          <w:bCs w:val="0"/>
          <w:color w:val="auto"/>
        </w:rPr>
      </w:pPr>
      <w:r>
        <w:rPr>
          <w:rFonts w:hint="eastAsia" w:ascii="仿宋" w:hAnsi="仿宋" w:eastAsia="仿宋" w:cs="仿宋"/>
          <w:color w:val="auto"/>
        </w:rPr>
        <w:t>2.“3+4”贯通培养。</w:t>
      </w:r>
      <w:r>
        <w:rPr>
          <w:rFonts w:hint="eastAsia" w:ascii="仿宋" w:hAnsi="仿宋" w:eastAsia="仿宋" w:cs="仿宋"/>
          <w:b w:val="0"/>
          <w:bCs w:val="0"/>
          <w:color w:val="auto"/>
        </w:rPr>
        <w:t>原则上中职申报“3+4”招生专业个数不限，申报“3+4”招生专业和人数以与联办高校协商的结果为准；一个专业可与3所高校的专业对接，一所中职对接高校的所数不限。中职、高校均需在招生专业备案和注册学籍时注明“3+4”贯通培养。</w:t>
      </w:r>
    </w:p>
    <w:p>
      <w:pPr>
        <w:pStyle w:val="5"/>
        <w:spacing w:before="0" w:after="0" w:line="579" w:lineRule="exact"/>
        <w:ind w:firstLine="643" w:firstLineChars="200"/>
        <w:jc w:val="both"/>
        <w:rPr>
          <w:rFonts w:ascii="仿宋" w:hAnsi="仿宋" w:eastAsia="仿宋" w:cs="仿宋"/>
          <w:b w:val="0"/>
          <w:bCs w:val="0"/>
          <w:color w:val="auto"/>
        </w:rPr>
      </w:pPr>
      <w:r>
        <w:rPr>
          <w:rFonts w:hint="eastAsia" w:ascii="仿宋" w:hAnsi="仿宋" w:eastAsia="仿宋" w:cs="仿宋"/>
          <w:color w:val="auto"/>
        </w:rPr>
        <w:t>3.“5年一贯制”贯通培养。</w:t>
      </w:r>
      <w:r>
        <w:rPr>
          <w:rFonts w:hint="eastAsia" w:ascii="仿宋" w:hAnsi="仿宋" w:eastAsia="仿宋" w:cs="仿宋"/>
          <w:b w:val="0"/>
          <w:bCs w:val="0"/>
          <w:color w:val="auto"/>
        </w:rPr>
        <w:t>原则上中高职联合申报“5年一贯制”招生专业个数</w:t>
      </w:r>
      <w:r>
        <w:rPr>
          <w:rFonts w:hint="eastAsia" w:ascii="仿宋" w:hAnsi="仿宋" w:eastAsia="仿宋" w:cs="仿宋"/>
          <w:b w:val="0"/>
          <w:bCs w:val="0"/>
          <w:strike w:val="0"/>
          <w:dstrike w:val="0"/>
          <w:color w:val="auto"/>
        </w:rPr>
        <w:t>、规模不限</w:t>
      </w:r>
      <w:r>
        <w:rPr>
          <w:rFonts w:hint="eastAsia" w:ascii="仿宋" w:hAnsi="仿宋" w:eastAsia="仿宋" w:cs="仿宋"/>
          <w:b w:val="0"/>
          <w:bCs w:val="0"/>
          <w:color w:val="auto"/>
        </w:rPr>
        <w:t>，以两校协商的结果为准。高职单独申报“5年一贯制”的招生专业需通过高职专业设置备案审核。中高职“5年一贯制”贯通培养的专业，需在招生专业备案和注册学籍时注明“5年一贯制”贯通培养。</w:t>
      </w:r>
    </w:p>
    <w:p>
      <w:pPr>
        <w:pStyle w:val="5"/>
        <w:spacing w:before="0" w:after="0" w:line="579" w:lineRule="exact"/>
        <w:ind w:firstLine="643" w:firstLineChars="200"/>
        <w:jc w:val="both"/>
        <w:rPr>
          <w:rFonts w:ascii="仿宋" w:hAnsi="仿宋" w:eastAsia="仿宋" w:cs="仿宋"/>
          <w:b w:val="0"/>
          <w:bCs w:val="0"/>
          <w:color w:val="auto"/>
        </w:rPr>
      </w:pPr>
      <w:r>
        <w:rPr>
          <w:rFonts w:hint="eastAsia" w:ascii="仿宋" w:hAnsi="仿宋" w:eastAsia="仿宋" w:cs="仿宋"/>
          <w:bCs w:val="0"/>
          <w:color w:val="auto"/>
        </w:rPr>
        <w:t>4.“2+2+2”贯通培养。</w:t>
      </w:r>
      <w:r>
        <w:rPr>
          <w:rFonts w:hint="eastAsia" w:ascii="仿宋" w:hAnsi="仿宋" w:eastAsia="仿宋" w:cs="仿宋"/>
          <w:b w:val="0"/>
          <w:bCs w:val="0"/>
          <w:color w:val="auto"/>
        </w:rPr>
        <w:t>原则上中职、高职与企业联合“2+2+2”贯通培养招生专业个数</w:t>
      </w:r>
      <w:r>
        <w:rPr>
          <w:rFonts w:hint="eastAsia" w:ascii="仿宋" w:hAnsi="仿宋" w:eastAsia="仿宋" w:cs="仿宋"/>
          <w:b w:val="0"/>
          <w:bCs w:val="0"/>
          <w:strike w:val="0"/>
          <w:dstrike w:val="0"/>
          <w:color w:val="auto"/>
        </w:rPr>
        <w:t>、规模不限</w:t>
      </w:r>
      <w:r>
        <w:rPr>
          <w:rFonts w:hint="eastAsia" w:ascii="仿宋" w:hAnsi="仿宋" w:eastAsia="仿宋" w:cs="仿宋"/>
          <w:b w:val="0"/>
          <w:bCs w:val="0"/>
          <w:color w:val="auto"/>
        </w:rPr>
        <w:t>，以中职、高职及企业三方协商的结果为准，需在招生专业备案和注册学籍时注明“2+2+2”贯通培养。</w:t>
      </w:r>
    </w:p>
    <w:p>
      <w:pPr>
        <w:pStyle w:val="5"/>
        <w:numPr>
          <w:ilvl w:val="0"/>
          <w:numId w:val="0"/>
        </w:numPr>
        <w:spacing w:before="0" w:after="0" w:line="579" w:lineRule="exact"/>
        <w:ind w:firstLine="640" w:firstLineChars="200"/>
        <w:jc w:val="both"/>
        <w:rPr>
          <w:color w:val="auto"/>
        </w:rPr>
      </w:pPr>
      <w:r>
        <w:rPr>
          <w:rFonts w:hint="eastAsia" w:ascii="楷体" w:hAnsi="楷体" w:eastAsia="楷体" w:cs="楷体"/>
          <w:b w:val="0"/>
          <w:bCs w:val="0"/>
          <w:color w:val="auto"/>
        </w:rPr>
        <w:t>（三）申报程序。</w:t>
      </w:r>
      <w:r>
        <w:rPr>
          <w:rFonts w:hint="eastAsia" w:ascii="仿宋" w:hAnsi="仿宋" w:eastAsia="仿宋" w:cs="仿宋"/>
          <w:b w:val="0"/>
          <w:bCs w:val="0"/>
          <w:color w:val="auto"/>
        </w:rPr>
        <w:t>省市教育部门要积极协调，中职要主动与高校对接沟通，高校要顺应改革趋势、科学谋划，及时回应请求联合培养的中职并加强沟通，做好贯通培养规划方案的统筹制定，促进高素质技术技能人才培养多种渠道的达成。</w:t>
      </w:r>
    </w:p>
    <w:p>
      <w:pPr>
        <w:shd w:val="solid" w:color="FFFFFF" w:fill="auto"/>
        <w:autoSpaceDN w:val="0"/>
        <w:spacing w:line="579" w:lineRule="exact"/>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rPr>
        <w:t>1.学校申报。</w:t>
      </w:r>
      <w:r>
        <w:rPr>
          <w:rFonts w:hint="eastAsia" w:ascii="仿宋" w:hAnsi="仿宋" w:eastAsia="仿宋" w:cs="仿宋"/>
          <w:color w:val="auto"/>
          <w:sz w:val="32"/>
          <w:szCs w:val="32"/>
        </w:rPr>
        <w:t>符合条件的中职会同联办高校，根据申报书目录和文本格式要求（见附件）认真准备申报材料，</w:t>
      </w:r>
      <w:r>
        <w:rPr>
          <w:rFonts w:hint="eastAsia" w:ascii="仿宋" w:hAnsi="仿宋" w:eastAsia="仿宋" w:cs="仿宋"/>
          <w:color w:val="auto"/>
          <w:sz w:val="32"/>
          <w:szCs w:val="32"/>
          <w:lang w:eastAsia="zh-CN"/>
        </w:rPr>
        <w:t>并填写《</w:t>
      </w:r>
      <w:r>
        <w:rPr>
          <w:rFonts w:hint="eastAsia" w:ascii="仿宋" w:hAnsi="仿宋" w:eastAsia="仿宋" w:cs="仿宋"/>
          <w:color w:val="auto"/>
          <w:sz w:val="32"/>
          <w:szCs w:val="32"/>
        </w:rPr>
        <w:t>中职与高校申报贯通培养专业汇总表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（附件13，加盖公章扫描版、Excel版各1份）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申报书分专业</w:t>
      </w:r>
      <w:r>
        <w:rPr>
          <w:rFonts w:hint="eastAsia" w:ascii="仿宋" w:hAnsi="仿宋" w:eastAsia="仿宋" w:cs="仿宋"/>
          <w:color w:val="auto"/>
          <w:sz w:val="32"/>
          <w:szCs w:val="32"/>
          <w:lang w:val="en-US" w:eastAsia="zh-CN"/>
        </w:rPr>
        <w:t>打包文件夹</w:t>
      </w:r>
      <w:r>
        <w:rPr>
          <w:rFonts w:hint="eastAsia" w:ascii="仿宋" w:hAnsi="仿宋" w:eastAsia="仿宋" w:cs="仿宋"/>
          <w:color w:val="auto"/>
          <w:sz w:val="32"/>
          <w:szCs w:val="32"/>
        </w:rPr>
        <w:t>，报主管部门审核。市属中职报市教育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力资源和社会保障</w:t>
      </w:r>
      <w:r>
        <w:rPr>
          <w:rFonts w:hint="eastAsia" w:ascii="仿宋" w:hAnsi="仿宋" w:eastAsia="仿宋" w:cs="仿宋"/>
          <w:color w:val="auto"/>
          <w:sz w:val="32"/>
          <w:szCs w:val="32"/>
        </w:rPr>
        <w:t>（技工学校报人</w:t>
      </w:r>
      <w:r>
        <w:rPr>
          <w:rFonts w:hint="eastAsia" w:ascii="仿宋" w:hAnsi="仿宋" w:eastAsia="仿宋" w:cs="仿宋"/>
          <w:color w:val="auto"/>
          <w:sz w:val="32"/>
          <w:szCs w:val="32"/>
          <w:lang w:eastAsia="zh-CN"/>
        </w:rPr>
        <w:t>力资源和社会保障</w:t>
      </w:r>
      <w:r>
        <w:rPr>
          <w:rFonts w:hint="eastAsia" w:ascii="仿宋" w:hAnsi="仿宋" w:eastAsia="仿宋" w:cs="仿宋"/>
          <w:color w:val="auto"/>
          <w:sz w:val="32"/>
          <w:szCs w:val="32"/>
        </w:rPr>
        <w:t>局，下同）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发展改革部门</w:t>
      </w:r>
      <w:r>
        <w:rPr>
          <w:rFonts w:hint="eastAsia" w:ascii="仿宋" w:hAnsi="仿宋" w:eastAsia="仿宋" w:cs="仿宋"/>
          <w:color w:val="auto"/>
          <w:sz w:val="32"/>
          <w:szCs w:val="32"/>
        </w:rPr>
        <w:t>审核。省属中职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含省属技工学校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直接将申报材料、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中职与高校申报贯通培养专业汇总表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同上</w:t>
      </w:r>
      <w:r>
        <w:rPr>
          <w:rFonts w:hint="eastAsia" w:ascii="仿宋" w:hAnsi="仿宋" w:eastAsia="仿宋" w:cs="仿宋"/>
          <w:color w:val="auto"/>
          <w:sz w:val="32"/>
          <w:szCs w:val="32"/>
        </w:rPr>
        <w:t>）报省教育厅指定电子邮箱：hbsjytzcc@163.com，邮件标题名和文件名规范为：市或中职简称+（“3+2”“3+4”“5年一贯制”“2+2+2”其中之一）。</w:t>
      </w:r>
      <w:r>
        <w:rPr>
          <w:rFonts w:hint="eastAsia" w:ascii="仿宋" w:hAnsi="仿宋" w:eastAsia="仿宋" w:cs="仿宋"/>
          <w:color w:val="auto"/>
          <w:sz w:val="32"/>
          <w:szCs w:val="32"/>
          <w:lang w:val="en-US" w:eastAsia="zh-CN"/>
        </w:rPr>
        <w:t>为稳妥推进贯通培养工作的实施，避免贯通培养联办专业急剧增加，联办高校要将本校《</w:t>
      </w:r>
      <w:r>
        <w:rPr>
          <w:rFonts w:hint="eastAsia" w:ascii="仿宋" w:hAnsi="仿宋" w:eastAsia="仿宋" w:cs="仿宋"/>
          <w:color w:val="auto"/>
          <w:sz w:val="32"/>
          <w:szCs w:val="32"/>
        </w:rPr>
        <w:t>中职与高校申报贯通培养专业汇总表</w:t>
      </w:r>
      <w:r>
        <w:rPr>
          <w:rFonts w:hint="eastAsia" w:ascii="仿宋" w:hAnsi="仿宋" w:eastAsia="仿宋" w:cs="仿宋"/>
          <w:color w:val="auto"/>
          <w:sz w:val="32"/>
          <w:szCs w:val="32"/>
          <w:lang w:eastAsia="zh-CN"/>
        </w:rPr>
        <w:t>》（同上）</w:t>
      </w:r>
      <w:r>
        <w:rPr>
          <w:rFonts w:hint="eastAsia" w:ascii="仿宋" w:hAnsi="仿宋" w:eastAsia="仿宋" w:cs="仿宋"/>
          <w:color w:val="auto"/>
          <w:sz w:val="32"/>
          <w:szCs w:val="32"/>
          <w:lang w:val="en-US" w:eastAsia="zh-CN"/>
        </w:rPr>
        <w:t>按合作意向度由高到低排序，</w:t>
      </w:r>
      <w:r>
        <w:rPr>
          <w:rFonts w:hint="eastAsia" w:ascii="仿宋" w:hAnsi="仿宋" w:eastAsia="仿宋" w:cs="仿宋"/>
          <w:color w:val="auto"/>
          <w:sz w:val="32"/>
          <w:szCs w:val="32"/>
        </w:rPr>
        <w:t>报省教育厅指定电子邮箱</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为全省统筹安排贯通培养专业提供依据。</w:t>
      </w:r>
    </w:p>
    <w:p>
      <w:pPr>
        <w:pStyle w:val="2"/>
        <w:shd w:val="solid" w:color="FFFFFF" w:fill="auto"/>
        <w:autoSpaceDN w:val="0"/>
        <w:spacing w:before="0"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建议申报材料中的各类贯通培养联办协议书应写明：“经省批准并下达年度招生计划后，本协议方可生效。”</w:t>
      </w:r>
    </w:p>
    <w:p>
      <w:pPr>
        <w:shd w:val="solid" w:color="FFFFFF" w:fill="auto"/>
        <w:autoSpaceDN w:val="0"/>
        <w:spacing w:line="579" w:lineRule="exact"/>
        <w:ind w:firstLine="643" w:firstLineChars="200"/>
        <w:rPr>
          <w:rFonts w:ascii="楷体" w:hAnsi="楷体" w:eastAsia="楷体" w:cs="楷体"/>
          <w:bCs/>
          <w:color w:val="auto"/>
          <w:sz w:val="32"/>
          <w:szCs w:val="32"/>
        </w:rPr>
      </w:pPr>
      <w:r>
        <w:rPr>
          <w:rFonts w:hint="eastAsia" w:ascii="仿宋" w:hAnsi="仿宋" w:eastAsia="仿宋" w:cs="仿宋"/>
          <w:b/>
          <w:color w:val="auto"/>
          <w:sz w:val="32"/>
          <w:szCs w:val="32"/>
        </w:rPr>
        <w:t>2.市级审核。</w:t>
      </w:r>
      <w:r>
        <w:rPr>
          <w:rFonts w:hint="eastAsia" w:ascii="仿宋" w:hAnsi="仿宋" w:eastAsia="仿宋" w:cs="仿宋"/>
          <w:color w:val="auto"/>
          <w:sz w:val="32"/>
          <w:szCs w:val="32"/>
        </w:rPr>
        <w:t>各市教育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力资源社会保障、</w:t>
      </w:r>
      <w:r>
        <w:rPr>
          <w:rFonts w:hint="eastAsia" w:ascii="仿宋" w:hAnsi="仿宋" w:eastAsia="仿宋" w:cs="仿宋"/>
          <w:color w:val="auto"/>
          <w:sz w:val="32"/>
          <w:szCs w:val="32"/>
        </w:rPr>
        <w:t>发展改革</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组织专家对申报材料进行评审,并签署专家评审意见</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确定申报学校及专业名单，并将有关申报材料、</w:t>
      </w:r>
      <w:r>
        <w:rPr>
          <w:rFonts w:hint="eastAsia" w:ascii="仿宋" w:hAnsi="仿宋" w:eastAsia="仿宋" w:cs="仿宋"/>
          <w:color w:val="auto"/>
          <w:sz w:val="32"/>
          <w:szCs w:val="32"/>
          <w:lang w:eastAsia="zh-CN"/>
        </w:rPr>
        <w:t>本市《</w:t>
      </w:r>
      <w:r>
        <w:rPr>
          <w:rFonts w:hint="eastAsia" w:ascii="仿宋" w:hAnsi="仿宋" w:eastAsia="仿宋" w:cs="仿宋"/>
          <w:color w:val="auto"/>
          <w:sz w:val="32"/>
          <w:szCs w:val="32"/>
        </w:rPr>
        <w:t>中职与高校申报贯通培养专业汇总表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（同上）报省教育厅指定电子邮箱hbsjytzcc@163.com，邮件标题名和文件名规范（同上）。</w:t>
      </w:r>
    </w:p>
    <w:p>
      <w:pPr>
        <w:widowControl/>
        <w:spacing w:line="579"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3.省级审定。</w:t>
      </w:r>
      <w:r>
        <w:rPr>
          <w:rFonts w:hint="eastAsia" w:ascii="仿宋" w:hAnsi="仿宋" w:eastAsia="仿宋" w:cs="仿宋"/>
          <w:color w:val="auto"/>
          <w:sz w:val="32"/>
          <w:szCs w:val="32"/>
        </w:rPr>
        <w:t>省教育厅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人力资源社会保障</w:t>
      </w:r>
      <w:r>
        <w:rPr>
          <w:rFonts w:hint="eastAsia" w:ascii="仿宋" w:hAnsi="仿宋" w:eastAsia="仿宋" w:cs="仿宋"/>
          <w:color w:val="auto"/>
          <w:sz w:val="32"/>
          <w:szCs w:val="32"/>
          <w:lang w:eastAsia="zh-CN"/>
        </w:rPr>
        <w:t>厅、</w:t>
      </w:r>
      <w:r>
        <w:rPr>
          <w:rFonts w:hint="eastAsia" w:ascii="仿宋" w:hAnsi="仿宋" w:eastAsia="仿宋" w:cs="仿宋"/>
          <w:color w:val="auto"/>
          <w:sz w:val="32"/>
          <w:szCs w:val="32"/>
        </w:rPr>
        <w:t>发展改革委组织专家对各市</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上报的材料进行评审，提出评审意见。</w:t>
      </w:r>
    </w:p>
    <w:p>
      <w:pPr>
        <w:widowControl/>
        <w:spacing w:line="579"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4.结果公布。</w:t>
      </w:r>
      <w:r>
        <w:rPr>
          <w:rFonts w:hint="eastAsia" w:ascii="仿宋" w:hAnsi="仿宋" w:eastAsia="仿宋" w:cs="仿宋"/>
          <w:color w:val="auto"/>
          <w:sz w:val="32"/>
          <w:szCs w:val="32"/>
        </w:rPr>
        <w:t>省教育厅审定专家评审意见并将审定结果在“河北省职业教育与成人教育网”上公示，时间为3天，公示无异议后公布最终结果。</w:t>
      </w:r>
    </w:p>
    <w:p>
      <w:pPr>
        <w:widowControl/>
        <w:spacing w:line="579"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5.调整周期。</w:t>
      </w:r>
      <w:r>
        <w:rPr>
          <w:rFonts w:hint="eastAsia" w:ascii="仿宋" w:hAnsi="仿宋" w:eastAsia="仿宋" w:cs="仿宋"/>
          <w:color w:val="auto"/>
          <w:sz w:val="32"/>
          <w:szCs w:val="32"/>
        </w:rPr>
        <w:t>经审核确定的中职与高校“3+2”“3+4”“5年一贯制”“2+2+2”贯通培养联合办学主体和专业，原则上每3年进行一次动态调整。</w:t>
      </w:r>
    </w:p>
    <w:p>
      <w:pPr>
        <w:widowControl/>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每年可适度</w:t>
      </w:r>
      <w:r>
        <w:rPr>
          <w:rFonts w:hint="eastAsia" w:ascii="仿宋" w:hAnsi="仿宋" w:eastAsia="仿宋" w:cs="仿宋"/>
          <w:color w:val="auto"/>
          <w:sz w:val="32"/>
          <w:szCs w:val="32"/>
          <w:lang w:val="en-US" w:eastAsia="zh-CN"/>
        </w:rPr>
        <w:t>调整</w:t>
      </w:r>
      <w:r>
        <w:rPr>
          <w:rFonts w:hint="eastAsia" w:ascii="仿宋" w:hAnsi="仿宋" w:eastAsia="仿宋" w:cs="仿宋"/>
          <w:color w:val="auto"/>
          <w:sz w:val="32"/>
          <w:szCs w:val="32"/>
        </w:rPr>
        <w:t>中高职“3+2”“3+4”“5年一贯制”“2+2+2”贯通培养联合办学主体</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专业。每年拟新申请的“3+2”“3+4”“5年一贯制”“2+2+2”贯通培养联合办学主体和专业，可于上年的1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月1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11月15</w:t>
      </w:r>
      <w:r>
        <w:rPr>
          <w:rFonts w:hint="eastAsia" w:ascii="仿宋" w:hAnsi="仿宋" w:eastAsia="仿宋" w:cs="仿宋"/>
          <w:color w:val="auto"/>
          <w:sz w:val="32"/>
          <w:szCs w:val="32"/>
        </w:rPr>
        <w:t>日履行申报程序，逾期不再受理。</w:t>
      </w:r>
    </w:p>
    <w:p>
      <w:pPr>
        <w:widowControl/>
        <w:spacing w:line="579" w:lineRule="exact"/>
        <w:ind w:firstLine="640" w:firstLineChars="200"/>
        <w:rPr>
          <w:rFonts w:ascii="黑体" w:hAnsi="黑体" w:eastAsia="黑体" w:cs="仿宋"/>
          <w:color w:val="auto"/>
          <w:sz w:val="32"/>
          <w:szCs w:val="32"/>
        </w:rPr>
      </w:pPr>
      <w:r>
        <w:rPr>
          <w:rFonts w:hint="eastAsia" w:ascii="黑体" w:hAnsi="黑体" w:eastAsia="黑体" w:cs="仿宋"/>
          <w:color w:val="auto"/>
          <w:sz w:val="32"/>
          <w:szCs w:val="32"/>
        </w:rPr>
        <w:t>四、加强管理与督导</w:t>
      </w:r>
    </w:p>
    <w:p>
      <w:pPr>
        <w:widowControl/>
        <w:spacing w:line="579"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（一）严格招生管理。</w:t>
      </w:r>
    </w:p>
    <w:p>
      <w:pPr>
        <w:widowControl/>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1.每年“3+2”“3+4”“5年一贯制”“2+2+2”贯通培养招生专业及计划由省发</w:t>
      </w:r>
      <w:r>
        <w:rPr>
          <w:rFonts w:hint="eastAsia" w:ascii="仿宋" w:hAnsi="仿宋" w:eastAsia="仿宋" w:cs="仿宋"/>
          <w:color w:val="auto"/>
          <w:sz w:val="32"/>
          <w:szCs w:val="32"/>
          <w:lang w:eastAsia="zh-CN"/>
        </w:rPr>
        <w:t>展和</w:t>
      </w:r>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革</w:t>
      </w:r>
      <w:r>
        <w:rPr>
          <w:rFonts w:hint="eastAsia" w:ascii="仿宋" w:hAnsi="仿宋" w:eastAsia="仿宋" w:cs="仿宋"/>
          <w:color w:val="auto"/>
          <w:sz w:val="32"/>
          <w:szCs w:val="32"/>
        </w:rPr>
        <w:t>委、教育厅发文下达，中职与高校招生专业及人数以省发</w:t>
      </w:r>
      <w:r>
        <w:rPr>
          <w:rFonts w:hint="eastAsia" w:ascii="仿宋" w:hAnsi="仿宋" w:eastAsia="仿宋" w:cs="仿宋"/>
          <w:color w:val="auto"/>
          <w:sz w:val="32"/>
          <w:szCs w:val="32"/>
          <w:lang w:eastAsia="zh-CN"/>
        </w:rPr>
        <w:t>展和</w:t>
      </w:r>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革</w:t>
      </w:r>
      <w:r>
        <w:rPr>
          <w:rFonts w:hint="eastAsia" w:ascii="仿宋" w:hAnsi="仿宋" w:eastAsia="仿宋" w:cs="仿宋"/>
          <w:color w:val="auto"/>
          <w:sz w:val="32"/>
          <w:szCs w:val="32"/>
        </w:rPr>
        <w:t>委、教育厅印发的文件为准。为维护招生计划的严肃性，“3+2”“3+4”“5年一贯制”“2+2+2”贯通培养招生计划原则上每年只下达一次，不再增补。在招生过程中，分配到各市的“3+4”招生计划不得相互调剂。</w:t>
      </w:r>
    </w:p>
    <w:p>
      <w:pPr>
        <w:widowControl/>
        <w:spacing w:line="579" w:lineRule="exact"/>
        <w:ind w:firstLine="640" w:firstLineChars="200"/>
        <w:rPr>
          <w:rFonts w:ascii="仿宋" w:hAnsi="仿宋" w:eastAsia="仿宋"/>
          <w:color w:val="auto"/>
          <w:sz w:val="32"/>
          <w:szCs w:val="32"/>
        </w:rPr>
      </w:pPr>
      <w:r>
        <w:rPr>
          <w:rFonts w:hint="eastAsia" w:ascii="仿宋" w:hAnsi="仿宋" w:eastAsia="仿宋"/>
          <w:color w:val="auto"/>
          <w:sz w:val="32"/>
          <w:szCs w:val="32"/>
        </w:rPr>
        <w:t>2.省统一划定“3+2”“3+4”“5年一贯制”贯通培养招生录取分数线，明确“2+2+2”贯通培养录取控制分数线划定标准。</w:t>
      </w:r>
    </w:p>
    <w:p>
      <w:pPr>
        <w:widowControl/>
        <w:spacing w:line="579" w:lineRule="exact"/>
        <w:ind w:firstLine="640" w:firstLineChars="200"/>
        <w:rPr>
          <w:rFonts w:ascii="仿宋" w:hAnsi="仿宋" w:eastAsia="仿宋"/>
          <w:b w:val="0"/>
          <w:bCs w:val="0"/>
          <w:color w:val="auto"/>
          <w:sz w:val="32"/>
          <w:szCs w:val="32"/>
        </w:rPr>
      </w:pPr>
      <w:r>
        <w:rPr>
          <w:rFonts w:hint="eastAsia" w:ascii="仿宋" w:hAnsi="仿宋" w:eastAsia="仿宋" w:cs="Times New Roman"/>
          <w:b w:val="0"/>
          <w:bCs w:val="0"/>
          <w:color w:val="auto"/>
          <w:sz w:val="32"/>
          <w:szCs w:val="32"/>
        </w:rPr>
        <w:t>3.</w:t>
      </w:r>
      <w:r>
        <w:rPr>
          <w:rFonts w:hint="eastAsia" w:ascii="仿宋" w:hAnsi="仿宋" w:eastAsia="仿宋"/>
          <w:color w:val="auto"/>
          <w:sz w:val="32"/>
          <w:szCs w:val="32"/>
        </w:rPr>
        <w:t>“3+2”“3+4”“5年一贯制”“2+2+2”招生录取按照“学校负责，招办监督”的原则，由各市教育招生考试机构办理录取手续，省教育考试院备案。</w:t>
      </w:r>
      <w:r>
        <w:rPr>
          <w:rFonts w:ascii="仿宋" w:hAnsi="仿宋" w:eastAsia="仿宋"/>
          <w:color w:val="auto"/>
          <w:sz w:val="32"/>
          <w:szCs w:val="32"/>
        </w:rPr>
        <w:t>备案工作结束后，</w:t>
      </w:r>
      <w:r>
        <w:rPr>
          <w:rFonts w:hint="eastAsia" w:ascii="仿宋" w:hAnsi="仿宋" w:eastAsia="仿宋"/>
          <w:color w:val="auto"/>
          <w:sz w:val="32"/>
          <w:szCs w:val="32"/>
        </w:rPr>
        <w:t>省教育厅、省</w:t>
      </w:r>
      <w:r>
        <w:rPr>
          <w:rFonts w:hint="eastAsia" w:ascii="仿宋" w:hAnsi="仿宋" w:eastAsia="仿宋" w:cs="仿宋"/>
          <w:color w:val="auto"/>
          <w:sz w:val="32"/>
          <w:szCs w:val="32"/>
        </w:rPr>
        <w:t>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w:t>
      </w:r>
      <w:r>
        <w:rPr>
          <w:rFonts w:hint="eastAsia" w:ascii="仿宋" w:hAnsi="仿宋" w:eastAsia="仿宋" w:cs="仿宋"/>
          <w:color w:val="auto"/>
          <w:sz w:val="32"/>
          <w:szCs w:val="32"/>
          <w:lang w:eastAsia="zh-CN"/>
        </w:rPr>
        <w:t>厅</w:t>
      </w:r>
      <w:r>
        <w:rPr>
          <w:rFonts w:hint="eastAsia" w:ascii="仿宋" w:hAnsi="仿宋" w:eastAsia="仿宋"/>
          <w:color w:val="auto"/>
          <w:sz w:val="32"/>
          <w:szCs w:val="32"/>
        </w:rPr>
        <w:t>以当年的</w:t>
      </w:r>
      <w:r>
        <w:rPr>
          <w:rFonts w:ascii="仿宋" w:hAnsi="仿宋" w:eastAsia="仿宋"/>
          <w:color w:val="auto"/>
          <w:sz w:val="32"/>
          <w:szCs w:val="32"/>
        </w:rPr>
        <w:t>“3+2”</w:t>
      </w:r>
      <w:r>
        <w:rPr>
          <w:rFonts w:hint="eastAsia" w:ascii="仿宋" w:hAnsi="仿宋" w:eastAsia="仿宋"/>
          <w:color w:val="auto"/>
          <w:sz w:val="32"/>
          <w:szCs w:val="32"/>
        </w:rPr>
        <w:t>“3+4”“5年一贯制”“2</w:t>
      </w:r>
      <w:r>
        <w:rPr>
          <w:rFonts w:ascii="仿宋" w:hAnsi="仿宋" w:eastAsia="仿宋"/>
          <w:color w:val="auto"/>
          <w:sz w:val="32"/>
          <w:szCs w:val="32"/>
        </w:rPr>
        <w:t>+2+2”</w:t>
      </w:r>
      <w:r>
        <w:rPr>
          <w:rFonts w:hint="eastAsia" w:ascii="仿宋" w:hAnsi="仿宋" w:eastAsia="仿宋"/>
          <w:color w:val="auto"/>
          <w:sz w:val="32"/>
          <w:szCs w:val="32"/>
        </w:rPr>
        <w:t>录取新生名册作为注册</w:t>
      </w:r>
      <w:r>
        <w:rPr>
          <w:rFonts w:ascii="仿宋" w:hAnsi="仿宋" w:eastAsia="仿宋"/>
          <w:color w:val="auto"/>
          <w:sz w:val="32"/>
          <w:szCs w:val="32"/>
        </w:rPr>
        <w:t>学籍</w:t>
      </w:r>
      <w:r>
        <w:rPr>
          <w:rFonts w:hint="eastAsia" w:ascii="仿宋" w:hAnsi="仿宋" w:eastAsia="仿宋"/>
          <w:color w:val="auto"/>
          <w:sz w:val="32"/>
          <w:szCs w:val="32"/>
        </w:rPr>
        <w:t>的依据</w:t>
      </w:r>
      <w:r>
        <w:rPr>
          <w:rFonts w:ascii="仿宋" w:hAnsi="仿宋" w:eastAsia="仿宋"/>
          <w:color w:val="auto"/>
          <w:sz w:val="32"/>
          <w:szCs w:val="32"/>
        </w:rPr>
        <w:t>。</w:t>
      </w:r>
    </w:p>
    <w:p>
      <w:pPr>
        <w:widowControl/>
        <w:spacing w:line="579" w:lineRule="exact"/>
        <w:ind w:firstLine="640" w:firstLineChars="200"/>
        <w:rPr>
          <w:rFonts w:ascii="仿宋" w:hAnsi="仿宋" w:eastAsia="仿宋" w:cs="仿宋"/>
          <w:color w:val="auto"/>
          <w:sz w:val="32"/>
          <w:szCs w:val="32"/>
        </w:rPr>
      </w:pPr>
      <w:r>
        <w:rPr>
          <w:rFonts w:hint="eastAsia" w:ascii="仿宋" w:hAnsi="仿宋" w:eastAsia="仿宋"/>
          <w:color w:val="auto"/>
          <w:sz w:val="32"/>
          <w:szCs w:val="32"/>
        </w:rPr>
        <w:t>“3+2”“3+4”贯通培养招生以中职为主导，联办高校要共同参与，共同把好生源质量关。办理录取手续和学籍注册时需盖中职公章，转段学籍注册时需盖联办高校公章。</w:t>
      </w:r>
      <w:r>
        <w:rPr>
          <w:rFonts w:hint="eastAsia" w:ascii="仿宋" w:hAnsi="仿宋" w:eastAsia="仿宋" w:cs="仿宋"/>
          <w:color w:val="auto"/>
          <w:sz w:val="32"/>
          <w:szCs w:val="32"/>
        </w:rPr>
        <w:t>“5年一贯制”中高职联合贯通培养招生以高职为主导、中职协同，办理录取手续和学籍注册时需盖联办中职和高职公章；“5年一贯制”高职单独贯通培养招生，办理录取手续和学籍注册时需盖高职公章。“2+2+2”贯通培养招生以企业为主导、中职为主体、高职共同参与，各方共同做好招生工作，办理录取手续和学籍注册时需盖中职公章，转段学籍注册时需盖联办高职公章。</w:t>
      </w:r>
    </w:p>
    <w:p>
      <w:pPr>
        <w:widowControl/>
        <w:spacing w:line="579" w:lineRule="exact"/>
        <w:ind w:firstLine="640"/>
        <w:rPr>
          <w:rFonts w:ascii="仿宋" w:hAnsi="仿宋" w:eastAsia="仿宋" w:cs="仿宋"/>
          <w:color w:val="auto"/>
          <w:sz w:val="32"/>
          <w:szCs w:val="32"/>
        </w:rPr>
      </w:pPr>
      <w:r>
        <w:rPr>
          <w:rFonts w:hint="eastAsia" w:ascii="楷体" w:hAnsi="楷体" w:eastAsia="楷体" w:cs="楷体"/>
          <w:bCs/>
          <w:color w:val="auto"/>
          <w:sz w:val="32"/>
          <w:szCs w:val="32"/>
        </w:rPr>
        <w:t>（二）强化教学管理。</w:t>
      </w:r>
      <w:r>
        <w:rPr>
          <w:rFonts w:hint="eastAsia" w:ascii="仿宋" w:hAnsi="仿宋" w:eastAsia="仿宋" w:cs="宋体"/>
          <w:color w:val="auto"/>
          <w:kern w:val="0"/>
          <w:sz w:val="32"/>
          <w:szCs w:val="32"/>
        </w:rPr>
        <w:t>中职、高校、企业等各方要认真履行</w:t>
      </w:r>
      <w:r>
        <w:rPr>
          <w:rFonts w:hint="eastAsia" w:ascii="仿宋" w:hAnsi="仿宋" w:eastAsia="仿宋" w:cs="仿宋"/>
          <w:color w:val="auto"/>
          <w:sz w:val="32"/>
          <w:szCs w:val="32"/>
        </w:rPr>
        <w:t>贯通培养</w:t>
      </w:r>
      <w:r>
        <w:rPr>
          <w:rFonts w:hint="eastAsia" w:ascii="仿宋" w:hAnsi="仿宋" w:eastAsia="仿宋" w:cs="宋体"/>
          <w:color w:val="auto"/>
          <w:kern w:val="0"/>
          <w:sz w:val="32"/>
          <w:szCs w:val="32"/>
        </w:rPr>
        <w:t>联办协议、按分工承担各自的人才培养任务；要组建联合培养工作领导小组，建立联合班主任制度；以国家专业教学标准和职业岗位标准为依据，共同制定</w:t>
      </w:r>
      <w:r>
        <w:rPr>
          <w:rFonts w:hint="eastAsia" w:ascii="仿宋" w:hAnsi="仿宋" w:eastAsia="仿宋" w:cs="仿宋"/>
          <w:color w:val="auto"/>
          <w:sz w:val="32"/>
          <w:szCs w:val="32"/>
        </w:rPr>
        <w:t>专业人才培养方案和教学管理制度并严格执行；鼓励学校引进或参照各类国际职业资格证书标准，培养与国际接轨的技能型人才。“3+2”“3+4”“5年一贯制”“2+2+2”贯通培养的各专业人才培养方案，应招生前在学校官网公布，招生时明确公示；要加强沟通与协作，加强培养质量的监测把关。</w:t>
      </w:r>
    </w:p>
    <w:p>
      <w:pPr>
        <w:widowControl/>
        <w:spacing w:line="579"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（三）规范分段管理。</w:t>
      </w:r>
    </w:p>
    <w:p>
      <w:pPr>
        <w:widowControl/>
        <w:spacing w:line="579" w:lineRule="exact"/>
        <w:ind w:firstLine="643" w:firstLineChars="200"/>
        <w:rPr>
          <w:rFonts w:ascii="仿宋" w:hAnsi="仿宋" w:eastAsia="仿宋" w:cs="仿宋"/>
          <w:color w:val="auto"/>
          <w:sz w:val="32"/>
          <w:szCs w:val="32"/>
        </w:rPr>
      </w:pPr>
      <w:r>
        <w:rPr>
          <w:rFonts w:hint="eastAsia" w:ascii="楷体" w:hAnsi="楷体" w:eastAsia="楷体" w:cs="楷体"/>
          <w:b/>
          <w:color w:val="auto"/>
          <w:sz w:val="32"/>
          <w:szCs w:val="32"/>
        </w:rPr>
        <w:t>1.</w:t>
      </w:r>
      <w:r>
        <w:rPr>
          <w:rFonts w:hint="eastAsia" w:ascii="仿宋" w:hAnsi="仿宋" w:eastAsia="仿宋" w:cs="仿宋"/>
          <w:b/>
          <w:color w:val="auto"/>
          <w:sz w:val="32"/>
          <w:szCs w:val="32"/>
        </w:rPr>
        <w:t>“3+2”</w:t>
      </w:r>
      <w:r>
        <w:rPr>
          <w:rFonts w:hint="eastAsia" w:ascii="仿宋" w:hAnsi="仿宋" w:eastAsia="仿宋" w:cs="仿宋"/>
          <w:b/>
          <w:bCs/>
          <w:color w:val="auto"/>
          <w:sz w:val="32"/>
          <w:szCs w:val="32"/>
        </w:rPr>
        <w:t>贯通</w:t>
      </w:r>
      <w:r>
        <w:rPr>
          <w:rFonts w:hint="eastAsia" w:ascii="仿宋" w:hAnsi="仿宋" w:eastAsia="仿宋" w:cs="仿宋"/>
          <w:b/>
          <w:color w:val="auto"/>
          <w:sz w:val="32"/>
          <w:szCs w:val="32"/>
        </w:rPr>
        <w:t>培养。</w:t>
      </w:r>
      <w:r>
        <w:rPr>
          <w:rFonts w:hint="eastAsia" w:ascii="仿宋" w:hAnsi="仿宋" w:eastAsia="仿宋" w:cs="仿宋"/>
          <w:color w:val="auto"/>
          <w:sz w:val="32"/>
          <w:szCs w:val="32"/>
        </w:rPr>
        <w:t>前3年在中职，执行中职国家专业教学标准、管理规范和学生待遇标准；后2年在高职，执行高职国家专业教学标准、管理规范和学生待遇标准。严禁高职委托中职进行后2年管理。</w:t>
      </w:r>
    </w:p>
    <w:p>
      <w:pPr>
        <w:widowControl/>
        <w:spacing w:line="579"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2.“3+4”贯通培养。</w:t>
      </w:r>
      <w:r>
        <w:rPr>
          <w:rFonts w:hint="eastAsia" w:ascii="仿宋" w:hAnsi="仿宋" w:eastAsia="仿宋" w:cs="仿宋"/>
          <w:color w:val="auto"/>
          <w:sz w:val="32"/>
          <w:szCs w:val="32"/>
        </w:rPr>
        <w:t>前3年在中职，执行中职国家专业教学标准、管理规范和学生待遇标准；后4年在高校，执行高校国家专业教学标准、管理规范和学生待遇标准。严禁高校委托中职进行后4年管理。</w:t>
      </w:r>
    </w:p>
    <w:p>
      <w:pPr>
        <w:widowControl/>
        <w:spacing w:line="579"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3.“5年一贯制”贯通培养。</w:t>
      </w:r>
      <w:r>
        <w:rPr>
          <w:rFonts w:hint="eastAsia" w:ascii="仿宋" w:hAnsi="仿宋" w:eastAsia="仿宋" w:cs="仿宋"/>
          <w:color w:val="auto"/>
          <w:sz w:val="32"/>
          <w:szCs w:val="32"/>
        </w:rPr>
        <w:t>前3年执行中职国家专业教学标准、管理规范和学生待遇标准，后2年执行高职国家专业教学标准、管理规范和学生待遇标准；中高职联合培养的，要求学生在高职校区累计学习生活时间不少于1学年。</w:t>
      </w:r>
    </w:p>
    <w:p>
      <w:pPr>
        <w:widowControl/>
        <w:spacing w:line="579" w:lineRule="exact"/>
        <w:ind w:firstLine="643" w:firstLineChars="200"/>
        <w:rPr>
          <w:color w:val="auto"/>
          <w:highlight w:val="yellow"/>
        </w:rPr>
      </w:pPr>
      <w:r>
        <w:rPr>
          <w:rFonts w:hint="eastAsia" w:ascii="仿宋" w:hAnsi="仿宋" w:eastAsia="仿宋" w:cs="仿宋"/>
          <w:b/>
          <w:bCs/>
          <w:color w:val="auto"/>
          <w:sz w:val="32"/>
          <w:szCs w:val="32"/>
        </w:rPr>
        <w:t>4.“2+2+2”贯通培养。</w:t>
      </w:r>
      <w:r>
        <w:rPr>
          <w:rFonts w:hint="eastAsia" w:ascii="仿宋" w:hAnsi="仿宋" w:eastAsia="仿宋" w:cs="仿宋"/>
          <w:color w:val="auto"/>
          <w:sz w:val="32"/>
          <w:szCs w:val="32"/>
        </w:rPr>
        <w:t>前3年执行中职国家专业教学标准、管理规范和学生待遇标准，后3年执行高职国家专业教学标准、管理规范和学生待遇标准。前2年以中职管理为主，合作企业配合；第3年中职牵头管理，企业共同参与管理；第4年以企业管理为主，高职配合。学生在企业实训实习要严格执行《职业学校学生实习管理规定》，要创新技术技能实训方法；第</w:t>
      </w:r>
      <w:r>
        <w:rPr>
          <w:rFonts w:ascii="仿宋" w:hAnsi="仿宋" w:eastAsia="仿宋" w:cs="仿宋"/>
          <w:color w:val="auto"/>
          <w:sz w:val="32"/>
          <w:szCs w:val="32"/>
        </w:rPr>
        <w:t>5年学生进入高职后，</w:t>
      </w:r>
      <w:r>
        <w:rPr>
          <w:rFonts w:hint="eastAsia" w:ascii="仿宋" w:hAnsi="仿宋" w:eastAsia="仿宋" w:cs="仿宋"/>
          <w:color w:val="auto"/>
          <w:sz w:val="32"/>
          <w:szCs w:val="32"/>
        </w:rPr>
        <w:t>要将</w:t>
      </w:r>
      <w:r>
        <w:rPr>
          <w:rFonts w:ascii="仿宋" w:hAnsi="仿宋" w:eastAsia="仿宋" w:cs="仿宋"/>
          <w:color w:val="auto"/>
          <w:sz w:val="32"/>
          <w:szCs w:val="32"/>
        </w:rPr>
        <w:t>提高</w:t>
      </w:r>
      <w:r>
        <w:rPr>
          <w:rFonts w:hint="eastAsia" w:ascii="仿宋" w:hAnsi="仿宋" w:eastAsia="仿宋" w:cs="仿宋"/>
          <w:color w:val="auto"/>
          <w:sz w:val="32"/>
          <w:szCs w:val="32"/>
        </w:rPr>
        <w:t>理论知识和技术技能水平并重</w:t>
      </w:r>
      <w:r>
        <w:rPr>
          <w:rFonts w:ascii="仿宋" w:hAnsi="仿宋" w:eastAsia="仿宋" w:cs="仿宋"/>
          <w:color w:val="auto"/>
          <w:sz w:val="32"/>
          <w:szCs w:val="32"/>
        </w:rPr>
        <w:t>。</w:t>
      </w:r>
    </w:p>
    <w:p>
      <w:pPr>
        <w:widowControl/>
        <w:spacing w:line="579" w:lineRule="exact"/>
        <w:ind w:firstLine="640" w:firstLineChars="200"/>
        <w:rPr>
          <w:rFonts w:ascii="仿宋" w:hAnsi="仿宋" w:eastAsia="仿宋" w:cs="仿宋"/>
          <w:color w:val="auto"/>
          <w:sz w:val="32"/>
          <w:szCs w:val="32"/>
        </w:rPr>
      </w:pPr>
      <w:r>
        <w:rPr>
          <w:rFonts w:hint="eastAsia" w:ascii="楷体" w:hAnsi="楷体" w:eastAsia="楷体" w:cs="楷体"/>
          <w:bCs/>
          <w:color w:val="auto"/>
          <w:sz w:val="32"/>
          <w:szCs w:val="32"/>
        </w:rPr>
        <w:t>（四）加强考试管理。</w:t>
      </w:r>
      <w:r>
        <w:rPr>
          <w:rFonts w:hint="eastAsia" w:ascii="仿宋" w:hAnsi="仿宋" w:eastAsia="仿宋" w:cs="宋体"/>
          <w:color w:val="auto"/>
          <w:kern w:val="0"/>
          <w:sz w:val="32"/>
          <w:szCs w:val="32"/>
        </w:rPr>
        <w:t>中职、高校、企业等各方要联合制定</w:t>
      </w:r>
      <w:r>
        <w:rPr>
          <w:rFonts w:hint="eastAsia" w:ascii="仿宋" w:hAnsi="仿宋" w:eastAsia="仿宋" w:cs="仿宋"/>
          <w:color w:val="auto"/>
          <w:sz w:val="32"/>
          <w:szCs w:val="32"/>
        </w:rPr>
        <w:t>“3+2”“3+4”“5年一贯制”“2+2+2”贯通培养转段或升学考试办法，并在学校官网对外公示。“3+2”“5年一贯制”“2+2+2”贯通培养转段或升学考试</w:t>
      </w:r>
      <w:r>
        <w:rPr>
          <w:rFonts w:hint="eastAsia" w:ascii="仿宋" w:hAnsi="仿宋" w:eastAsia="仿宋" w:cs="仿宋"/>
          <w:color w:val="auto"/>
          <w:sz w:val="32"/>
          <w:szCs w:val="32"/>
          <w:lang w:eastAsia="zh-CN"/>
        </w:rPr>
        <w:t>以高职为主，中高职联合组织实施；</w:t>
      </w:r>
      <w:r>
        <w:rPr>
          <w:rFonts w:hint="eastAsia" w:ascii="仿宋" w:hAnsi="仿宋" w:eastAsia="仿宋" w:cs="仿宋"/>
          <w:color w:val="auto"/>
          <w:sz w:val="32"/>
          <w:szCs w:val="32"/>
        </w:rPr>
        <w:t>“3+4”转段考试由</w:t>
      </w:r>
      <w:r>
        <w:rPr>
          <w:rFonts w:hint="eastAsia" w:ascii="仿宋" w:hAnsi="仿宋" w:eastAsia="仿宋" w:cs="仿宋"/>
          <w:color w:val="auto"/>
          <w:sz w:val="32"/>
          <w:szCs w:val="32"/>
          <w:lang w:eastAsia="zh-CN"/>
        </w:rPr>
        <w:t>高校负责组织实施；录取名单报</w:t>
      </w:r>
      <w:r>
        <w:rPr>
          <w:rFonts w:hint="eastAsia" w:ascii="仿宋" w:hAnsi="仿宋" w:eastAsia="仿宋" w:cs="仿宋"/>
          <w:color w:val="auto"/>
          <w:sz w:val="32"/>
          <w:szCs w:val="32"/>
        </w:rPr>
        <w:t>省教育考试</w:t>
      </w:r>
      <w:r>
        <w:rPr>
          <w:rFonts w:hint="eastAsia" w:ascii="仿宋" w:hAnsi="仿宋" w:eastAsia="仿宋" w:cs="仿宋"/>
          <w:color w:val="auto"/>
          <w:sz w:val="32"/>
          <w:szCs w:val="32"/>
          <w:lang w:eastAsia="zh-CN"/>
        </w:rPr>
        <w:t>院</w:t>
      </w:r>
      <w:r>
        <w:rPr>
          <w:rFonts w:hint="eastAsia" w:ascii="仿宋" w:hAnsi="仿宋" w:eastAsia="仿宋" w:cs="仿宋"/>
          <w:color w:val="auto"/>
          <w:sz w:val="32"/>
          <w:szCs w:val="32"/>
          <w:lang w:val="en-US" w:eastAsia="zh-CN"/>
        </w:rPr>
        <w:t>备案</w:t>
      </w:r>
      <w:r>
        <w:rPr>
          <w:rFonts w:hint="eastAsia" w:ascii="仿宋" w:hAnsi="仿宋" w:eastAsia="仿宋" w:cs="仿宋"/>
          <w:color w:val="auto"/>
          <w:sz w:val="32"/>
          <w:szCs w:val="32"/>
        </w:rPr>
        <w:t>。要坚持考试标准，建立淘汰机制，“</w:t>
      </w:r>
      <w:r>
        <w:rPr>
          <w:rFonts w:ascii="仿宋" w:hAnsi="仿宋" w:eastAsia="仿宋" w:cs="仿宋"/>
          <w:color w:val="auto"/>
          <w:sz w:val="32"/>
          <w:szCs w:val="32"/>
        </w:rPr>
        <w:t>3+2</w:t>
      </w:r>
      <w:r>
        <w:rPr>
          <w:rFonts w:hint="eastAsia" w:ascii="仿宋" w:hAnsi="仿宋" w:eastAsia="仿宋" w:cs="仿宋"/>
          <w:color w:val="auto"/>
          <w:sz w:val="32"/>
          <w:szCs w:val="32"/>
        </w:rPr>
        <w:t>”“</w:t>
      </w:r>
      <w:r>
        <w:rPr>
          <w:rFonts w:ascii="仿宋" w:hAnsi="仿宋" w:eastAsia="仿宋" w:cs="仿宋"/>
          <w:color w:val="auto"/>
          <w:sz w:val="32"/>
          <w:szCs w:val="32"/>
        </w:rPr>
        <w:t>3+4”</w:t>
      </w:r>
      <w:r>
        <w:rPr>
          <w:rFonts w:hint="eastAsia" w:ascii="仿宋" w:hAnsi="仿宋" w:eastAsia="仿宋" w:cs="仿宋"/>
          <w:color w:val="auto"/>
          <w:sz w:val="32"/>
          <w:szCs w:val="32"/>
        </w:rPr>
        <w:t>贯通培养学生转段淘汰率原则上不低于5%，“5年一贯制”“2+2+2”贯通培养学生也要建立相应的淘汰机制。要严把转段或升学考试质量关，考核合格者方可转段或升学，未参加转段考试或考试不合格的学生不得转段，转段或升学结果应在学校官网对外公示。</w:t>
      </w:r>
      <w:r>
        <w:rPr>
          <w:rFonts w:hint="eastAsia" w:ascii="仿宋" w:hAnsi="仿宋" w:eastAsia="仿宋" w:cs="仿宋"/>
          <w:color w:val="auto"/>
          <w:sz w:val="32"/>
          <w:szCs w:val="32"/>
          <w:lang w:eastAsia="zh-CN"/>
        </w:rPr>
        <w:t>“3+4”转段合格的考生不再参加后期的普通高考、高职单招、对口升学等形式的录取</w:t>
      </w:r>
      <w:r>
        <w:rPr>
          <w:rFonts w:hint="eastAsia" w:ascii="仿宋" w:hAnsi="仿宋" w:eastAsia="仿宋" w:cs="仿宋"/>
          <w:color w:val="auto"/>
          <w:sz w:val="32"/>
          <w:szCs w:val="32"/>
        </w:rPr>
        <w:t>。</w:t>
      </w:r>
    </w:p>
    <w:p>
      <w:pPr>
        <w:widowControl/>
        <w:spacing w:line="579" w:lineRule="exact"/>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学生因某种原因未升入高等教育阶段学习，但符合中职毕业要求的，可颁发中职毕业证书。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Cs/>
          <w:color w:val="auto"/>
          <w:sz w:val="32"/>
          <w:szCs w:val="32"/>
          <w:lang w:eastAsia="zh-CN"/>
        </w:rPr>
        <w:t>（</w:t>
      </w:r>
      <w:r>
        <w:rPr>
          <w:rFonts w:hint="eastAsia" w:ascii="楷体" w:hAnsi="楷体" w:eastAsia="楷体" w:cs="楷体"/>
          <w:bCs/>
          <w:color w:val="auto"/>
          <w:sz w:val="32"/>
          <w:szCs w:val="32"/>
          <w:lang w:val="en-US" w:eastAsia="zh-CN"/>
        </w:rPr>
        <w:t>五</w:t>
      </w:r>
      <w:r>
        <w:rPr>
          <w:rFonts w:hint="eastAsia" w:ascii="楷体" w:hAnsi="楷体" w:eastAsia="楷体" w:cs="楷体"/>
          <w:bCs/>
          <w:color w:val="auto"/>
          <w:sz w:val="32"/>
          <w:szCs w:val="32"/>
          <w:lang w:eastAsia="zh-CN"/>
        </w:rPr>
        <w:t>）</w:t>
      </w:r>
      <w:r>
        <w:rPr>
          <w:rFonts w:hint="eastAsia" w:ascii="楷体" w:hAnsi="楷体" w:eastAsia="楷体" w:cs="楷体"/>
          <w:bCs/>
          <w:color w:val="auto"/>
          <w:sz w:val="32"/>
          <w:szCs w:val="32"/>
        </w:rPr>
        <w:t>加强监督管理。</w:t>
      </w:r>
      <w:r>
        <w:rPr>
          <w:rFonts w:hint="eastAsia" w:ascii="仿宋" w:hAnsi="仿宋" w:eastAsia="仿宋" w:cs="仿宋"/>
          <w:color w:val="auto"/>
          <w:sz w:val="32"/>
          <w:szCs w:val="32"/>
        </w:rPr>
        <w:t>省市教育、人力资源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改革等部门要进一步加强对中职与高校贯通培养工作的动态监管，组织专家评价培养质量，对参与贯通培养的学校及专业进行动态调整。在招生、录取、转段等工作中未按程序办理，甚至出现超计划招生、虚假承诺、提前发放录取通知书等行为的学校，一经发现，取消其贯通培养资格，且三年内不得重新申报。合理运用上年度中高职办学绩效评价结果，上年办学绩效考核不合格的或办学不规范造成不良影响的，由学校主管部门进行严肃处理，暂停当年</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rPr>
        <w:t>3+2”“3+4”“5年一贯制”“2+2+2”贯通培养招生资格或削减招生计划。中职与高校要聚焦学生培养质量，深入开展教学诊断与改进工作，省教育厅将以开展教学诊断与改进工作调研或复核的方式对贯通培养实施监管。</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本通知发布后，省市教育、人力资源和社会保障部门应立即组织所属中职联合高校</w:t>
      </w:r>
      <w:r>
        <w:rPr>
          <w:rFonts w:hint="eastAsia" w:ascii="仿宋" w:hAnsi="仿宋" w:eastAsia="仿宋" w:cs="仿宋"/>
          <w:color w:val="auto"/>
          <w:sz w:val="32"/>
          <w:szCs w:val="32"/>
          <w:lang w:eastAsia="zh-CN"/>
        </w:rPr>
        <w:t>申报</w:t>
      </w:r>
      <w:r>
        <w:rPr>
          <w:rFonts w:hint="eastAsia" w:ascii="仿宋" w:hAnsi="仿宋" w:eastAsia="仿宋" w:cs="仿宋"/>
          <w:color w:val="auto"/>
          <w:sz w:val="32"/>
          <w:szCs w:val="32"/>
          <w:lang w:val="en-US" w:eastAsia="zh-CN"/>
        </w:rPr>
        <w:t>2023年</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rPr>
        <w:t>3+2”“3+4”“5年一贯制”“2+2+2”贯通培养</w:t>
      </w:r>
      <w:r>
        <w:rPr>
          <w:rFonts w:hint="eastAsia" w:ascii="仿宋" w:hAnsi="仿宋" w:eastAsia="仿宋" w:cs="仿宋"/>
          <w:color w:val="auto"/>
          <w:sz w:val="32"/>
          <w:szCs w:val="32"/>
          <w:lang w:eastAsia="zh-CN"/>
        </w:rPr>
        <w:t>招生专业并加快完成市级审核。各</w:t>
      </w:r>
      <w:r>
        <w:rPr>
          <w:rFonts w:hint="eastAsia" w:ascii="仿宋" w:hAnsi="仿宋" w:eastAsia="仿宋" w:cs="仿宋"/>
          <w:color w:val="auto"/>
          <w:sz w:val="32"/>
          <w:szCs w:val="32"/>
          <w:lang w:val="en-US" w:eastAsia="zh-CN"/>
        </w:rPr>
        <w:t>市教育局和省属中职（含省属技工学校）必须于2023年3月23日前将申报材料、《</w:t>
      </w:r>
      <w:r>
        <w:rPr>
          <w:rFonts w:hint="eastAsia" w:ascii="仿宋" w:hAnsi="仿宋" w:eastAsia="仿宋" w:cs="仿宋"/>
          <w:color w:val="auto"/>
          <w:sz w:val="32"/>
          <w:szCs w:val="32"/>
        </w:rPr>
        <w:t>中职与高校申报贯通培养专业汇总表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（同上）</w:t>
      </w:r>
      <w:r>
        <w:rPr>
          <w:rFonts w:hint="eastAsia" w:ascii="仿宋" w:hAnsi="仿宋" w:eastAsia="仿宋" w:cs="仿宋"/>
          <w:color w:val="auto"/>
          <w:sz w:val="32"/>
          <w:szCs w:val="32"/>
          <w:lang w:eastAsia="zh-CN"/>
        </w:rPr>
        <w:t>报至省教育厅电子邮箱（同上），过期不予受理。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本通知涉及的相关政策为试行阶段，将根据各地各校政策执行情况和区域人才需求状况适时调整完善。</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附件：1.河北省“3+2”贯通培养申报书（封皮）</w:t>
      </w:r>
    </w:p>
    <w:p>
      <w:pPr>
        <w:keepNext w:val="0"/>
        <w:keepLines w:val="0"/>
        <w:pageBreakBefore w:val="0"/>
        <w:kinsoku/>
        <w:wordWrap/>
        <w:overflowPunct/>
        <w:topLinePunct w:val="0"/>
        <w:autoSpaceDE/>
        <w:autoSpaceDN/>
        <w:bidi w:val="0"/>
        <w:adjustRightInd/>
        <w:snapToGrid/>
        <w:spacing w:line="560" w:lineRule="exact"/>
        <w:ind w:left="1575" w:leftChars="750"/>
        <w:textAlignment w:val="auto"/>
        <w:rPr>
          <w:rFonts w:ascii="仿宋" w:hAnsi="仿宋" w:eastAsia="仿宋" w:cs="仿宋"/>
          <w:color w:val="auto"/>
          <w:sz w:val="32"/>
          <w:szCs w:val="32"/>
        </w:rPr>
      </w:pPr>
      <w:r>
        <w:rPr>
          <w:rFonts w:hint="eastAsia" w:ascii="仿宋" w:hAnsi="仿宋" w:eastAsia="仿宋" w:cs="仿宋"/>
          <w:color w:val="auto"/>
          <w:sz w:val="32"/>
          <w:szCs w:val="32"/>
        </w:rPr>
        <w:t>2.河北省“3+2”贯通培养申报书目录</w:t>
      </w:r>
    </w:p>
    <w:p>
      <w:pPr>
        <w:spacing w:line="579" w:lineRule="exact"/>
        <w:ind w:left="1575" w:leftChars="750"/>
        <w:rPr>
          <w:rFonts w:ascii="仿宋" w:hAnsi="仿宋" w:eastAsia="仿宋" w:cs="仿宋"/>
          <w:color w:val="auto"/>
          <w:sz w:val="32"/>
          <w:szCs w:val="32"/>
        </w:rPr>
      </w:pPr>
      <w:r>
        <w:rPr>
          <w:rFonts w:hint="eastAsia" w:ascii="仿宋" w:hAnsi="仿宋" w:eastAsia="仿宋" w:cs="仿宋"/>
          <w:color w:val="auto"/>
          <w:sz w:val="32"/>
          <w:szCs w:val="32"/>
        </w:rPr>
        <w:t>3.河北省“3+4”贯通培养申报书（封皮）</w:t>
      </w:r>
    </w:p>
    <w:p>
      <w:pPr>
        <w:spacing w:line="579" w:lineRule="exact"/>
        <w:ind w:left="1575" w:leftChars="750"/>
        <w:rPr>
          <w:rFonts w:ascii="仿宋" w:hAnsi="仿宋" w:eastAsia="仿宋" w:cs="仿宋"/>
          <w:color w:val="auto"/>
          <w:sz w:val="32"/>
          <w:szCs w:val="32"/>
        </w:rPr>
      </w:pPr>
      <w:r>
        <w:rPr>
          <w:rFonts w:hint="eastAsia" w:ascii="仿宋" w:hAnsi="仿宋" w:eastAsia="仿宋" w:cs="仿宋"/>
          <w:color w:val="auto"/>
          <w:sz w:val="32"/>
          <w:szCs w:val="32"/>
        </w:rPr>
        <w:t>4.河北省“3+4”贯通培养申报书目录</w:t>
      </w:r>
    </w:p>
    <w:p>
      <w:pPr>
        <w:spacing w:line="579" w:lineRule="exact"/>
        <w:ind w:left="1575" w:leftChars="750"/>
        <w:rPr>
          <w:rFonts w:ascii="仿宋" w:hAnsi="仿宋" w:eastAsia="仿宋" w:cs="仿宋"/>
          <w:color w:val="auto"/>
          <w:sz w:val="32"/>
          <w:szCs w:val="32"/>
        </w:rPr>
      </w:pPr>
      <w:r>
        <w:rPr>
          <w:rFonts w:hint="eastAsia" w:ascii="仿宋" w:hAnsi="仿宋" w:eastAsia="仿宋" w:cs="仿宋"/>
          <w:color w:val="auto"/>
          <w:sz w:val="32"/>
          <w:szCs w:val="32"/>
        </w:rPr>
        <w:t>5.河北省“5年一贯制”贯通培养申报书（封皮）</w:t>
      </w:r>
    </w:p>
    <w:p>
      <w:pPr>
        <w:spacing w:line="579" w:lineRule="exact"/>
        <w:ind w:left="1575" w:leftChars="750"/>
        <w:rPr>
          <w:rFonts w:ascii="仿宋" w:hAnsi="仿宋" w:eastAsia="仿宋" w:cs="仿宋"/>
          <w:color w:val="auto"/>
          <w:sz w:val="32"/>
          <w:szCs w:val="32"/>
        </w:rPr>
      </w:pPr>
      <w:r>
        <w:rPr>
          <w:rFonts w:hint="eastAsia" w:ascii="仿宋" w:hAnsi="仿宋" w:eastAsia="仿宋" w:cs="仿宋"/>
          <w:color w:val="auto"/>
          <w:sz w:val="32"/>
          <w:szCs w:val="32"/>
        </w:rPr>
        <w:t>6.河北省“5年一贯制”贯通培养申报书目录</w:t>
      </w:r>
    </w:p>
    <w:p>
      <w:pPr>
        <w:pStyle w:val="2"/>
        <w:spacing w:before="0" w:line="579" w:lineRule="exact"/>
        <w:ind w:left="1575" w:leftChars="750"/>
        <w:rPr>
          <w:rFonts w:eastAsia="仿宋"/>
          <w:color w:val="auto"/>
        </w:rPr>
      </w:pPr>
      <w:r>
        <w:rPr>
          <w:rFonts w:hint="eastAsia" w:ascii="仿宋" w:hAnsi="仿宋" w:eastAsia="仿宋" w:cs="仿宋"/>
          <w:color w:val="auto"/>
          <w:sz w:val="32"/>
          <w:szCs w:val="32"/>
        </w:rPr>
        <w:t>7.河北省“2+2+2”贯通培养申报书（封皮）</w:t>
      </w:r>
    </w:p>
    <w:p>
      <w:pPr>
        <w:pStyle w:val="2"/>
        <w:spacing w:before="0" w:line="579" w:lineRule="exact"/>
        <w:ind w:left="1575" w:leftChars="750"/>
        <w:rPr>
          <w:rFonts w:eastAsia="仿宋"/>
          <w:color w:val="auto"/>
        </w:rPr>
      </w:pPr>
      <w:r>
        <w:rPr>
          <w:rFonts w:hint="eastAsia" w:ascii="仿宋" w:hAnsi="仿宋" w:eastAsia="仿宋" w:cs="仿宋"/>
          <w:color w:val="auto"/>
          <w:sz w:val="32"/>
          <w:szCs w:val="32"/>
        </w:rPr>
        <w:t>8.河北省“2+2+2”贯通培养申报书目录</w:t>
      </w:r>
    </w:p>
    <w:p>
      <w:pPr>
        <w:spacing w:line="579" w:lineRule="exact"/>
        <w:ind w:left="1575" w:leftChars="750"/>
        <w:rPr>
          <w:rFonts w:ascii="仿宋" w:hAnsi="仿宋" w:eastAsia="仿宋" w:cs="仿宋"/>
          <w:color w:val="auto"/>
          <w:w w:val="95"/>
          <w:sz w:val="32"/>
          <w:szCs w:val="32"/>
        </w:rPr>
      </w:pPr>
      <w:r>
        <w:rPr>
          <w:rFonts w:hint="eastAsia" w:ascii="仿宋" w:hAnsi="仿宋" w:eastAsia="仿宋" w:cs="仿宋"/>
          <w:color w:val="auto"/>
          <w:sz w:val="32"/>
          <w:szCs w:val="32"/>
        </w:rPr>
        <w:t>9.</w:t>
      </w:r>
      <w:r>
        <w:rPr>
          <w:rFonts w:hint="eastAsia" w:ascii="仿宋" w:hAnsi="仿宋" w:eastAsia="仿宋" w:cs="仿宋"/>
          <w:color w:val="auto"/>
          <w:w w:val="95"/>
          <w:sz w:val="32"/>
          <w:szCs w:val="32"/>
        </w:rPr>
        <w:t>申报书文本格式</w:t>
      </w:r>
    </w:p>
    <w:p>
      <w:pPr>
        <w:pStyle w:val="2"/>
        <w:numPr>
          <w:ilvl w:val="0"/>
          <w:numId w:val="0"/>
        </w:numPr>
        <w:spacing w:before="0" w:line="579" w:lineRule="exact"/>
        <w:ind w:left="1575" w:leftChars="750"/>
        <w:rPr>
          <w:rFonts w:ascii="仿宋" w:hAnsi="仿宋" w:eastAsia="仿宋" w:cs="仿宋"/>
          <w:color w:val="auto"/>
          <w:w w:val="95"/>
          <w:sz w:val="32"/>
          <w:szCs w:val="32"/>
        </w:rPr>
      </w:pPr>
      <w:r>
        <w:rPr>
          <w:rFonts w:hint="eastAsia" w:ascii="仿宋" w:hAnsi="仿宋" w:eastAsia="仿宋" w:cs="仿宋"/>
          <w:color w:val="auto"/>
          <w:w w:val="95"/>
          <w:sz w:val="32"/>
          <w:szCs w:val="32"/>
        </w:rPr>
        <w:t>10.</w:t>
      </w:r>
      <w:r>
        <w:rPr>
          <w:rFonts w:hint="eastAsia" w:ascii="仿宋" w:hAnsi="仿宋" w:eastAsia="仿宋" w:cs="仿宋"/>
          <w:color w:val="auto"/>
          <w:w w:val="95"/>
          <w:sz w:val="32"/>
          <w:szCs w:val="32"/>
          <w:lang w:eastAsia="zh-CN"/>
        </w:rPr>
        <w:t>《</w:t>
      </w:r>
      <w:r>
        <w:rPr>
          <w:rFonts w:hint="eastAsia" w:ascii="仿宋" w:hAnsi="仿宋" w:eastAsia="仿宋" w:cs="仿宋"/>
          <w:color w:val="auto"/>
          <w:w w:val="95"/>
          <w:sz w:val="32"/>
          <w:szCs w:val="32"/>
        </w:rPr>
        <w:t>河北省职教本科学校及现有专业一览表</w:t>
      </w:r>
      <w:r>
        <w:rPr>
          <w:rFonts w:hint="eastAsia" w:ascii="仿宋" w:hAnsi="仿宋" w:eastAsia="仿宋" w:cs="仿宋"/>
          <w:color w:val="auto"/>
          <w:w w:val="95"/>
          <w:sz w:val="32"/>
          <w:szCs w:val="32"/>
          <w:lang w:eastAsia="zh-CN"/>
        </w:rPr>
        <w:t>》</w:t>
      </w:r>
    </w:p>
    <w:p>
      <w:pPr>
        <w:numPr>
          <w:ilvl w:val="0"/>
          <w:numId w:val="0"/>
        </w:numPr>
        <w:spacing w:line="579" w:lineRule="exact"/>
        <w:ind w:left="1575" w:leftChars="750"/>
        <w:rPr>
          <w:rFonts w:ascii="仿宋" w:hAnsi="仿宋" w:eastAsia="仿宋" w:cs="仿宋"/>
          <w:color w:val="auto"/>
          <w:w w:val="95"/>
          <w:sz w:val="32"/>
          <w:szCs w:val="32"/>
        </w:rPr>
      </w:pPr>
      <w:r>
        <w:rPr>
          <w:rFonts w:hint="eastAsia" w:ascii="仿宋" w:hAnsi="仿宋" w:eastAsia="仿宋" w:cs="仿宋"/>
          <w:color w:val="auto"/>
          <w:w w:val="95"/>
          <w:sz w:val="32"/>
          <w:szCs w:val="32"/>
        </w:rPr>
        <w:t>11.河北省应用型本科学校名单</w:t>
      </w:r>
    </w:p>
    <w:p>
      <w:pPr>
        <w:pStyle w:val="2"/>
        <w:rPr>
          <w:rFonts w:ascii="仿宋" w:hAnsi="仿宋" w:eastAsia="仿宋" w:cs="仿宋"/>
          <w:color w:val="auto"/>
          <w:w w:val="95"/>
          <w:sz w:val="32"/>
          <w:szCs w:val="32"/>
        </w:rPr>
      </w:pPr>
      <w:r>
        <w:rPr>
          <w:rFonts w:hint="eastAsia" w:ascii="仿宋" w:hAnsi="仿宋" w:eastAsia="仿宋" w:cs="仿宋"/>
          <w:color w:val="auto"/>
          <w:w w:val="95"/>
          <w:sz w:val="32"/>
          <w:szCs w:val="32"/>
        </w:rPr>
        <w:t xml:space="preserve">          12.河北省普通本科“3+4”试点学校名单</w:t>
      </w:r>
    </w:p>
    <w:p>
      <w:pPr>
        <w:rPr>
          <w:color w:val="auto"/>
        </w:rPr>
      </w:pPr>
      <w:r>
        <w:rPr>
          <w:rFonts w:hint="eastAsia" w:ascii="仿宋" w:hAnsi="仿宋" w:eastAsia="仿宋" w:cs="仿宋"/>
          <w:color w:val="auto"/>
          <w:w w:val="95"/>
          <w:sz w:val="32"/>
          <w:szCs w:val="32"/>
        </w:rPr>
        <w:t xml:space="preserve">          13.</w:t>
      </w:r>
      <w:r>
        <w:rPr>
          <w:rFonts w:hint="eastAsia" w:ascii="仿宋" w:hAnsi="仿宋" w:eastAsia="仿宋" w:cs="仿宋"/>
          <w:color w:val="auto"/>
          <w:w w:val="95"/>
          <w:sz w:val="32"/>
          <w:szCs w:val="32"/>
          <w:lang w:eastAsia="zh-CN"/>
        </w:rPr>
        <w:t>《</w:t>
      </w:r>
      <w:r>
        <w:rPr>
          <w:rFonts w:hint="eastAsia" w:ascii="仿宋" w:hAnsi="仿宋" w:eastAsia="仿宋" w:cs="仿宋"/>
          <w:color w:val="auto"/>
          <w:w w:val="95"/>
          <w:sz w:val="32"/>
          <w:szCs w:val="32"/>
        </w:rPr>
        <w:t>中职与高校申报贯通培养专业汇总表</w:t>
      </w:r>
      <w:r>
        <w:rPr>
          <w:rFonts w:hint="eastAsia" w:ascii="仿宋" w:hAnsi="仿宋" w:eastAsia="仿宋" w:cs="仿宋"/>
          <w:color w:val="auto"/>
          <w:w w:val="95"/>
          <w:sz w:val="32"/>
          <w:szCs w:val="32"/>
          <w:lang w:eastAsia="zh-CN"/>
        </w:rPr>
        <w:t>》</w:t>
      </w:r>
    </w:p>
    <w:p>
      <w:pPr>
        <w:spacing w:line="579" w:lineRule="exact"/>
        <w:ind w:left="210" w:leftChars="100"/>
        <w:rPr>
          <w:rFonts w:ascii="仿宋" w:hAnsi="仿宋" w:eastAsia="仿宋" w:cs="仿宋"/>
          <w:color w:val="auto"/>
          <w:sz w:val="32"/>
          <w:szCs w:val="32"/>
        </w:rPr>
      </w:pPr>
    </w:p>
    <w:p>
      <w:pPr>
        <w:pStyle w:val="2"/>
        <w:rPr>
          <w:color w:val="auto"/>
        </w:rPr>
      </w:pPr>
    </w:p>
    <w:p>
      <w:pPr>
        <w:shd w:val="solid" w:color="FFFFFF" w:fill="auto"/>
        <w:autoSpaceDN w:val="0"/>
        <w:spacing w:line="579" w:lineRule="exact"/>
        <w:jc w:val="right"/>
        <w:rPr>
          <w:rFonts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河北省教育厅  河北省人力资源和社会保障厅</w:t>
      </w:r>
    </w:p>
    <w:p>
      <w:pPr>
        <w:shd w:val="solid" w:color="FFFFFF" w:fill="auto"/>
        <w:autoSpaceDN w:val="0"/>
        <w:spacing w:line="579" w:lineRule="exact"/>
        <w:jc w:val="right"/>
        <w:rPr>
          <w:rFonts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河北省发展和改革委员会</w:t>
      </w:r>
    </w:p>
    <w:p>
      <w:pPr>
        <w:shd w:val="solid" w:color="FFFFFF" w:fill="auto"/>
        <w:autoSpaceDN w:val="0"/>
        <w:spacing w:line="579" w:lineRule="exact"/>
        <w:jc w:val="right"/>
        <w:rPr>
          <w:rFonts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202</w:t>
      </w:r>
      <w:r>
        <w:rPr>
          <w:rFonts w:hint="eastAsia" w:ascii="仿宋" w:hAnsi="仿宋" w:eastAsia="仿宋" w:cs="仿宋"/>
          <w:color w:val="auto"/>
          <w:sz w:val="32"/>
          <w:shd w:val="clear" w:color="auto" w:fill="FFFFFF"/>
          <w:lang w:val="en-US" w:eastAsia="zh-CN"/>
        </w:rPr>
        <w:t>3</w:t>
      </w:r>
      <w:r>
        <w:rPr>
          <w:rFonts w:hint="eastAsia" w:ascii="仿宋" w:hAnsi="仿宋" w:eastAsia="仿宋" w:cs="仿宋"/>
          <w:color w:val="auto"/>
          <w:sz w:val="32"/>
          <w:shd w:val="clear" w:color="auto" w:fill="FFFFFF"/>
        </w:rPr>
        <w:t>年</w:t>
      </w:r>
      <w:r>
        <w:rPr>
          <w:rFonts w:hint="eastAsia" w:ascii="仿宋" w:hAnsi="仿宋" w:eastAsia="仿宋" w:cs="仿宋"/>
          <w:color w:val="auto"/>
          <w:sz w:val="32"/>
          <w:shd w:val="clear" w:color="auto" w:fill="FFFFFF"/>
          <w:lang w:val="en-US" w:eastAsia="zh-CN"/>
        </w:rPr>
        <w:t>3</w:t>
      </w:r>
      <w:r>
        <w:rPr>
          <w:rFonts w:hint="eastAsia" w:ascii="仿宋" w:hAnsi="仿宋" w:eastAsia="仿宋" w:cs="仿宋"/>
          <w:color w:val="auto"/>
          <w:sz w:val="32"/>
          <w:shd w:val="clear" w:color="auto" w:fill="FFFFFF"/>
        </w:rPr>
        <w:t>月</w:t>
      </w:r>
      <w:r>
        <w:rPr>
          <w:rFonts w:hint="eastAsia" w:ascii="仿宋" w:hAnsi="仿宋" w:eastAsia="仿宋" w:cs="仿宋"/>
          <w:color w:val="auto"/>
          <w:sz w:val="32"/>
          <w:shd w:val="clear" w:color="auto" w:fill="FFFFFF"/>
          <w:lang w:val="en-US" w:eastAsia="zh-CN"/>
        </w:rPr>
        <w:t>13</w:t>
      </w:r>
      <w:r>
        <w:rPr>
          <w:rFonts w:hint="eastAsia" w:ascii="仿宋" w:hAnsi="仿宋" w:eastAsia="仿宋" w:cs="仿宋"/>
          <w:color w:val="auto"/>
          <w:sz w:val="32"/>
          <w:shd w:val="clear" w:color="auto" w:fill="FFFFFF"/>
        </w:rPr>
        <w:t>日</w:t>
      </w:r>
    </w:p>
    <w:p>
      <w:pPr>
        <w:shd w:val="solid" w:color="FFFFFF" w:fill="auto"/>
        <w:autoSpaceDN w:val="0"/>
        <w:spacing w:line="600" w:lineRule="exact"/>
        <w:ind w:right="320"/>
        <w:jc w:val="right"/>
        <w:rPr>
          <w:rFonts w:ascii="仿宋" w:hAnsi="仿宋" w:eastAsia="仿宋" w:cs="仿宋"/>
          <w:color w:val="auto"/>
          <w:sz w:val="32"/>
          <w:shd w:val="clear" w:color="auto" w:fill="FFFFFF"/>
        </w:rPr>
      </w:pPr>
      <w:r>
        <w:rPr>
          <w:rFonts w:ascii="仿宋" w:hAnsi="仿宋" w:eastAsia="仿宋" w:cs="仿宋"/>
          <w:color w:val="auto"/>
          <w:sz w:val="32"/>
          <w:shd w:val="clear" w:color="auto" w:fill="FFFFFF"/>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附件1</w:t>
      </w:r>
    </w:p>
    <w:p>
      <w:pPr>
        <w:jc w:val="center"/>
        <w:rPr>
          <w:color w:val="auto"/>
        </w:rPr>
      </w:pPr>
    </w:p>
    <w:p>
      <w:pPr>
        <w:jc w:val="center"/>
        <w:rPr>
          <w:color w:val="auto"/>
        </w:rPr>
      </w:pPr>
    </w:p>
    <w:p>
      <w:pPr>
        <w:jc w:val="center"/>
        <w:rPr>
          <w:color w:val="auto"/>
        </w:rPr>
      </w:pPr>
    </w:p>
    <w:p>
      <w:pPr>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河北省“3+2”贯通培养申报书</w:t>
      </w:r>
    </w:p>
    <w:p>
      <w:pPr>
        <w:jc w:val="center"/>
        <w:rPr>
          <w:rFonts w:ascii="楷体" w:hAnsi="楷体" w:eastAsia="楷体" w:cs="楷体"/>
          <w:color w:val="auto"/>
          <w:sz w:val="32"/>
          <w:szCs w:val="32"/>
        </w:rPr>
      </w:pPr>
      <w:r>
        <w:rPr>
          <w:rFonts w:hint="eastAsia" w:ascii="楷体" w:hAnsi="楷体" w:eastAsia="楷体" w:cs="楷体"/>
          <w:color w:val="auto"/>
          <w:sz w:val="32"/>
          <w:szCs w:val="32"/>
        </w:rPr>
        <w:t>（封  皮）</w:t>
      </w: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spacing w:line="72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高职名称：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jc w:val="left"/>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中职专业：</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高职专业：</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中职联系人：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900" w:lineRule="exact"/>
        <w:jc w:val="left"/>
        <w:rPr>
          <w:color w:val="auto"/>
        </w:rPr>
      </w:pPr>
    </w:p>
    <w:p>
      <w:pPr>
        <w:jc w:val="left"/>
        <w:rPr>
          <w:color w:val="auto"/>
        </w:rPr>
      </w:pPr>
      <w:r>
        <w:rPr>
          <w:color w:val="auto"/>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附件2</w:t>
      </w:r>
    </w:p>
    <w:p>
      <w:pPr>
        <w:shd w:val="solid" w:color="FFFFFF" w:fill="auto"/>
        <w:autoSpaceDN w:val="0"/>
        <w:spacing w:line="600" w:lineRule="exact"/>
        <w:jc w:val="center"/>
        <w:rPr>
          <w:rFonts w:ascii="方正小标宋简体" w:hAnsi="方正小标宋简体" w:eastAsia="方正小标宋简体" w:cs="方正小标宋简体"/>
          <w:color w:val="auto"/>
          <w:sz w:val="44"/>
          <w:szCs w:val="44"/>
          <w:shd w:val="clear" w:color="auto" w:fill="FFFFFF"/>
        </w:rPr>
      </w:pPr>
    </w:p>
    <w:p>
      <w:pPr>
        <w:shd w:val="solid" w:color="FFFFFF" w:fill="auto"/>
        <w:autoSpaceDN w:val="0"/>
        <w:spacing w:line="600" w:lineRule="exact"/>
        <w:jc w:val="center"/>
        <w:rPr>
          <w:rFonts w:ascii="方正小标宋_GBK" w:hAnsi="方正小标宋_GBK" w:eastAsia="方正小标宋_GBK" w:cs="方正小标宋_GBK"/>
          <w:b/>
          <w:bCs/>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河北省“3+2”贯通培养申报书目录</w:t>
      </w:r>
    </w:p>
    <w:p>
      <w:pPr>
        <w:shd w:val="solid" w:color="FFFFFF" w:fill="auto"/>
        <w:autoSpaceDN w:val="0"/>
        <w:spacing w:line="600" w:lineRule="exact"/>
        <w:jc w:val="center"/>
        <w:rPr>
          <w:rFonts w:ascii="仿宋" w:hAnsi="仿宋" w:eastAsia="仿宋"/>
          <w:color w:val="auto"/>
          <w:sz w:val="32"/>
          <w:shd w:val="clear" w:color="auto" w:fill="FFFFFF"/>
        </w:rPr>
      </w:pP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一、中职、高职基本情况</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二、对接的中职专业和高职专业简介</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三、“3+2”贯通培养可行性报告</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四、“3+2”贯通培养专业人才培养方案</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五、“3+2”贯通培养联办协议书</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六、专家评审意见</w:t>
      </w:r>
    </w:p>
    <w:p>
      <w:pPr>
        <w:shd w:val="solid" w:color="FFFFFF" w:fill="auto"/>
        <w:autoSpaceDN w:val="0"/>
        <w:spacing w:line="720" w:lineRule="exact"/>
        <w:ind w:firstLine="640"/>
        <w:jc w:val="left"/>
        <w:rPr>
          <w:rFonts w:hint="eastAsia" w:ascii="仿宋" w:hAnsi="仿宋" w:eastAsia="仿宋" w:cs="仿宋"/>
          <w:color w:val="auto"/>
          <w:sz w:val="32"/>
          <w:szCs w:val="32"/>
          <w:lang w:eastAsia="zh-CN"/>
        </w:rPr>
      </w:pPr>
      <w:r>
        <w:rPr>
          <w:rFonts w:hint="eastAsia" w:ascii="仿宋" w:hAnsi="仿宋" w:eastAsia="仿宋"/>
          <w:color w:val="auto"/>
          <w:sz w:val="32"/>
          <w:shd w:val="clear" w:color="auto" w:fill="FFFFFF"/>
        </w:rPr>
        <w:t>七、管理部门意见</w:t>
      </w:r>
      <w:r>
        <w:rPr>
          <w:rFonts w:hint="eastAsia" w:ascii="仿宋" w:hAnsi="仿宋" w:eastAsia="仿宋"/>
          <w:color w:val="auto"/>
          <w:sz w:val="32"/>
          <w:shd w:val="clear" w:color="auto" w:fill="FFFFFF"/>
          <w:lang w:val="en-US" w:eastAsia="zh-CN"/>
        </w:rPr>
        <w:t>[</w:t>
      </w:r>
      <w:r>
        <w:rPr>
          <w:rFonts w:hint="eastAsia" w:ascii="仿宋" w:hAnsi="仿宋" w:eastAsia="仿宋"/>
          <w:color w:val="auto"/>
          <w:sz w:val="32"/>
          <w:shd w:val="clear" w:color="auto" w:fill="FFFFFF"/>
        </w:rPr>
        <w:t>市教育局</w:t>
      </w:r>
      <w:r>
        <w:rPr>
          <w:rFonts w:hint="eastAsia" w:ascii="仿宋" w:hAnsi="仿宋" w:eastAsia="仿宋"/>
          <w:color w:val="auto"/>
          <w:sz w:val="32"/>
          <w:shd w:val="clear" w:color="auto" w:fill="FFFFFF"/>
          <w:lang w:eastAsia="zh-CN"/>
        </w:rPr>
        <w:t>汇总</w:t>
      </w:r>
      <w:r>
        <w:rPr>
          <w:rFonts w:hint="eastAsia" w:ascii="仿宋" w:hAnsi="仿宋" w:eastAsia="仿宋" w:cs="仿宋"/>
          <w:color w:val="auto"/>
          <w:sz w:val="32"/>
          <w:szCs w:val="32"/>
        </w:rPr>
        <w:t>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社会保障局</w:t>
      </w:r>
      <w:r>
        <w:rPr>
          <w:rFonts w:hint="eastAsia" w:ascii="仿宋" w:hAnsi="仿宋" w:eastAsia="仿宋" w:cs="仿宋"/>
          <w:color w:val="auto"/>
          <w:sz w:val="32"/>
          <w:szCs w:val="32"/>
          <w:lang w:eastAsia="zh-CN"/>
        </w:rPr>
        <w:t>、</w:t>
      </w:r>
    </w:p>
    <w:p>
      <w:pPr>
        <w:shd w:val="solid" w:color="FFFFFF" w:fill="auto"/>
        <w:autoSpaceDN w:val="0"/>
        <w:spacing w:line="720" w:lineRule="exact"/>
        <w:ind w:firstLine="640"/>
        <w:jc w:val="left"/>
        <w:rPr>
          <w:rFonts w:ascii="仿宋" w:hAnsi="仿宋" w:eastAsia="仿宋"/>
          <w:color w:val="auto"/>
          <w:sz w:val="32"/>
          <w:shd w:val="clear" w:color="auto" w:fill="FFFFFF"/>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改革委（局）</w:t>
      </w:r>
      <w:r>
        <w:rPr>
          <w:rFonts w:hint="eastAsia" w:ascii="仿宋" w:hAnsi="仿宋" w:eastAsia="仿宋" w:cs="仿宋"/>
          <w:color w:val="auto"/>
          <w:sz w:val="32"/>
          <w:szCs w:val="32"/>
          <w:lang w:eastAsia="zh-CN"/>
        </w:rPr>
        <w:t>意见</w:t>
      </w:r>
      <w:r>
        <w:rPr>
          <w:rFonts w:hint="eastAsia" w:ascii="仿宋" w:hAnsi="仿宋" w:eastAsia="仿宋" w:cs="仿宋"/>
          <w:color w:val="auto"/>
          <w:sz w:val="32"/>
          <w:szCs w:val="32"/>
          <w:lang w:val="en-US" w:eastAsia="zh-CN"/>
        </w:rPr>
        <w:t>]</w:t>
      </w:r>
    </w:p>
    <w:p>
      <w:pPr>
        <w:pStyle w:val="2"/>
        <w:rPr>
          <w:rFonts w:eastAsia="仿宋"/>
          <w:color w:val="auto"/>
        </w:rPr>
      </w:pPr>
    </w:p>
    <w:p>
      <w:pPr>
        <w:jc w:val="left"/>
        <w:rPr>
          <w:color w:val="auto"/>
          <w:sz w:val="32"/>
          <w:szCs w:val="32"/>
        </w:rPr>
      </w:pPr>
    </w:p>
    <w:p>
      <w:pPr>
        <w:jc w:val="left"/>
        <w:rPr>
          <w:color w:val="auto"/>
          <w:sz w:val="32"/>
          <w:szCs w:val="32"/>
        </w:rPr>
      </w:pPr>
    </w:p>
    <w:p>
      <w:pPr>
        <w:jc w:val="left"/>
        <w:rPr>
          <w:color w:val="auto"/>
          <w:sz w:val="32"/>
          <w:szCs w:val="32"/>
        </w:rPr>
      </w:pPr>
    </w:p>
    <w:p>
      <w:pPr>
        <w:jc w:val="left"/>
        <w:rPr>
          <w:color w:val="auto"/>
          <w:sz w:val="32"/>
          <w:szCs w:val="32"/>
        </w:rPr>
      </w:pPr>
    </w:p>
    <w:p>
      <w:pPr>
        <w:jc w:val="left"/>
        <w:rPr>
          <w:color w:val="auto"/>
          <w:sz w:val="32"/>
          <w:szCs w:val="32"/>
        </w:rPr>
      </w:pPr>
    </w:p>
    <w:p>
      <w:pPr>
        <w:jc w:val="left"/>
        <w:rPr>
          <w:color w:val="auto"/>
          <w:sz w:val="32"/>
          <w:szCs w:val="32"/>
        </w:rPr>
      </w:pPr>
    </w:p>
    <w:p>
      <w:pPr>
        <w:jc w:val="left"/>
        <w:rPr>
          <w:color w:val="auto"/>
          <w:sz w:val="32"/>
          <w:szCs w:val="32"/>
        </w:rPr>
      </w:pPr>
      <w:r>
        <w:rPr>
          <w:color w:val="auto"/>
          <w:sz w:val="32"/>
          <w:szCs w:val="32"/>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附件3</w:t>
      </w:r>
    </w:p>
    <w:p>
      <w:pPr>
        <w:jc w:val="center"/>
        <w:rPr>
          <w:color w:val="auto"/>
        </w:rPr>
      </w:pPr>
    </w:p>
    <w:p>
      <w:pPr>
        <w:jc w:val="center"/>
        <w:rPr>
          <w:color w:val="auto"/>
        </w:rPr>
      </w:pPr>
    </w:p>
    <w:p>
      <w:pPr>
        <w:jc w:val="center"/>
        <w:rPr>
          <w:color w:val="auto"/>
        </w:rPr>
      </w:pPr>
    </w:p>
    <w:p>
      <w:pPr>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河北省“3+4”贯通培养申报书</w:t>
      </w:r>
    </w:p>
    <w:p>
      <w:pPr>
        <w:jc w:val="center"/>
        <w:rPr>
          <w:rFonts w:ascii="楷体" w:hAnsi="楷体" w:eastAsia="楷体" w:cs="楷体"/>
          <w:color w:val="auto"/>
          <w:sz w:val="32"/>
          <w:szCs w:val="32"/>
        </w:rPr>
      </w:pPr>
      <w:r>
        <w:rPr>
          <w:rFonts w:hint="eastAsia" w:ascii="楷体" w:hAnsi="楷体" w:eastAsia="楷体" w:cs="楷体"/>
          <w:color w:val="auto"/>
          <w:sz w:val="32"/>
          <w:szCs w:val="32"/>
        </w:rPr>
        <w:t>（封  皮）</w:t>
      </w:r>
    </w:p>
    <w:p>
      <w:pPr>
        <w:jc w:val="center"/>
        <w:rPr>
          <w:color w:val="auto"/>
        </w:rPr>
      </w:pPr>
    </w:p>
    <w:p>
      <w:pPr>
        <w:jc w:val="center"/>
        <w:rPr>
          <w:color w:val="auto"/>
        </w:rPr>
      </w:pPr>
    </w:p>
    <w:p>
      <w:pPr>
        <w:spacing w:line="56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56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高职名称：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56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应用型本科学校名称：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56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普通本科学校名称：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560" w:lineRule="exact"/>
        <w:ind w:firstLine="1280" w:firstLineChars="400"/>
        <w:jc w:val="left"/>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中职专业：</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高职专业：</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应用型本科学校专业：</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普通型本科学校专业：</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中职联系人：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应用型本科学校联系人：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普通本科学校联系人：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560" w:lineRule="exact"/>
        <w:ind w:firstLine="1280" w:firstLineChars="400"/>
        <w:rPr>
          <w:rFonts w:ascii="方正小标宋简体" w:hAnsi="方正小标宋简体" w:eastAsia="方正小标宋简体" w:cs="方正小标宋简体"/>
          <w:color w:val="auto"/>
          <w:sz w:val="32"/>
          <w:szCs w:val="32"/>
        </w:rPr>
      </w:pPr>
    </w:p>
    <w:p>
      <w:pPr>
        <w:jc w:val="left"/>
        <w:rPr>
          <w:color w:val="auto"/>
        </w:rPr>
      </w:pPr>
      <w:r>
        <w:rPr>
          <w:color w:val="auto"/>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附件4</w:t>
      </w:r>
    </w:p>
    <w:p>
      <w:pPr>
        <w:shd w:val="solid" w:color="FFFFFF" w:fill="auto"/>
        <w:autoSpaceDN w:val="0"/>
        <w:spacing w:line="600" w:lineRule="exact"/>
        <w:jc w:val="center"/>
        <w:rPr>
          <w:rFonts w:ascii="方正小标宋简体" w:hAnsi="方正小标宋简体" w:eastAsia="方正小标宋简体" w:cs="方正小标宋简体"/>
          <w:color w:val="auto"/>
          <w:sz w:val="44"/>
          <w:szCs w:val="44"/>
          <w:shd w:val="clear" w:color="auto" w:fill="FFFFFF"/>
        </w:rPr>
      </w:pPr>
    </w:p>
    <w:p>
      <w:pPr>
        <w:shd w:val="solid" w:color="FFFFFF" w:fill="auto"/>
        <w:autoSpaceDN w:val="0"/>
        <w:spacing w:line="600" w:lineRule="exact"/>
        <w:jc w:val="center"/>
        <w:rPr>
          <w:rFonts w:ascii="方正小标宋_GBK" w:hAnsi="方正小标宋_GBK" w:eastAsia="方正小标宋_GBK" w:cs="方正小标宋_GBK"/>
          <w:b/>
          <w:bCs/>
          <w:color w:val="auto"/>
          <w:spacing w:val="-23"/>
          <w:sz w:val="44"/>
          <w:szCs w:val="44"/>
          <w:shd w:val="clear" w:color="auto" w:fill="FFFFFF"/>
        </w:rPr>
      </w:pPr>
      <w:r>
        <w:rPr>
          <w:rFonts w:hint="eastAsia" w:ascii="方正小标宋_GBK" w:hAnsi="方正小标宋_GBK" w:eastAsia="方正小标宋_GBK" w:cs="方正小标宋_GBK"/>
          <w:color w:val="auto"/>
          <w:spacing w:val="-23"/>
          <w:sz w:val="44"/>
          <w:szCs w:val="44"/>
          <w:shd w:val="clear" w:color="auto" w:fill="FFFFFF"/>
        </w:rPr>
        <w:t>河北省“3+4”贯通培养申报书目录</w:t>
      </w:r>
    </w:p>
    <w:p>
      <w:pPr>
        <w:shd w:val="solid" w:color="FFFFFF" w:fill="auto"/>
        <w:autoSpaceDN w:val="0"/>
        <w:spacing w:line="600" w:lineRule="exact"/>
        <w:jc w:val="center"/>
        <w:rPr>
          <w:rFonts w:ascii="仿宋" w:hAnsi="仿宋" w:eastAsia="仿宋"/>
          <w:color w:val="auto"/>
          <w:sz w:val="32"/>
          <w:shd w:val="clear" w:color="auto" w:fill="FFFFFF"/>
        </w:rPr>
      </w:pP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一、中职、高职或应用型本科或普通本科学校基本情况</w:t>
      </w:r>
    </w:p>
    <w:p>
      <w:pPr>
        <w:shd w:val="solid" w:color="FFFFFF" w:fill="auto"/>
        <w:autoSpaceDN w:val="0"/>
        <w:spacing w:line="720" w:lineRule="exact"/>
        <w:ind w:firstLine="64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二、对接的中职专业和高职或应用型本科或普通本科专业</w:t>
      </w:r>
    </w:p>
    <w:p>
      <w:pPr>
        <w:shd w:val="solid" w:color="FFFFFF" w:fill="auto"/>
        <w:autoSpaceDN w:val="0"/>
        <w:spacing w:line="720" w:lineRule="exact"/>
        <w:ind w:firstLine="64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简介</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三、“3+4”贯通培养可行性报告</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四、“3+4”贯通培养专业人才培养方案</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五、“3+4”贯通培养联办协议书</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六、专家评审意见</w:t>
      </w:r>
    </w:p>
    <w:p>
      <w:pPr>
        <w:numPr>
          <w:ilvl w:val="0"/>
          <w:numId w:val="2"/>
        </w:numPr>
        <w:shd w:val="solid" w:color="FFFFFF" w:fill="auto"/>
        <w:autoSpaceDN w:val="0"/>
        <w:spacing w:line="720" w:lineRule="exact"/>
        <w:ind w:firstLine="640"/>
        <w:jc w:val="left"/>
        <w:rPr>
          <w:rFonts w:hint="eastAsia" w:ascii="仿宋" w:hAnsi="仿宋" w:eastAsia="仿宋" w:cs="仿宋"/>
          <w:color w:val="auto"/>
          <w:sz w:val="32"/>
          <w:szCs w:val="32"/>
          <w:lang w:eastAsia="zh-CN"/>
        </w:rPr>
      </w:pPr>
      <w:r>
        <w:rPr>
          <w:rFonts w:hint="eastAsia" w:ascii="仿宋" w:hAnsi="仿宋" w:eastAsia="仿宋"/>
          <w:color w:val="auto"/>
          <w:sz w:val="32"/>
          <w:shd w:val="clear" w:color="auto" w:fill="FFFFFF"/>
        </w:rPr>
        <w:t>管理部门意见</w:t>
      </w:r>
      <w:r>
        <w:rPr>
          <w:rFonts w:hint="eastAsia" w:ascii="仿宋" w:hAnsi="仿宋" w:eastAsia="仿宋"/>
          <w:color w:val="auto"/>
          <w:sz w:val="32"/>
          <w:shd w:val="clear" w:color="auto" w:fill="FFFFFF"/>
          <w:lang w:val="en-US" w:eastAsia="zh-CN"/>
        </w:rPr>
        <w:t>[</w:t>
      </w:r>
      <w:r>
        <w:rPr>
          <w:rFonts w:hint="eastAsia" w:ascii="仿宋" w:hAnsi="仿宋" w:eastAsia="仿宋"/>
          <w:color w:val="auto"/>
          <w:sz w:val="32"/>
          <w:shd w:val="clear" w:color="auto" w:fill="FFFFFF"/>
        </w:rPr>
        <w:t>市教育局</w:t>
      </w:r>
      <w:r>
        <w:rPr>
          <w:rFonts w:hint="eastAsia" w:ascii="仿宋" w:hAnsi="仿宋" w:eastAsia="仿宋"/>
          <w:color w:val="auto"/>
          <w:sz w:val="32"/>
          <w:shd w:val="clear" w:color="auto" w:fill="FFFFFF"/>
          <w:lang w:eastAsia="zh-CN"/>
        </w:rPr>
        <w:t>汇总</w:t>
      </w:r>
      <w:r>
        <w:rPr>
          <w:rFonts w:hint="eastAsia" w:ascii="仿宋" w:hAnsi="仿宋" w:eastAsia="仿宋" w:cs="仿宋"/>
          <w:color w:val="auto"/>
          <w:sz w:val="32"/>
          <w:szCs w:val="32"/>
        </w:rPr>
        <w:t>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社会保障局</w:t>
      </w:r>
      <w:r>
        <w:rPr>
          <w:rFonts w:hint="eastAsia" w:ascii="仿宋" w:hAnsi="仿宋" w:eastAsia="仿宋" w:cs="仿宋"/>
          <w:color w:val="auto"/>
          <w:sz w:val="32"/>
          <w:szCs w:val="32"/>
          <w:lang w:eastAsia="zh-CN"/>
        </w:rPr>
        <w:t>、</w:t>
      </w:r>
    </w:p>
    <w:p>
      <w:pPr>
        <w:numPr>
          <w:ilvl w:val="0"/>
          <w:numId w:val="0"/>
        </w:num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改革委（局）</w:t>
      </w:r>
      <w:r>
        <w:rPr>
          <w:rFonts w:hint="eastAsia" w:ascii="仿宋" w:hAnsi="仿宋" w:eastAsia="仿宋" w:cs="仿宋"/>
          <w:color w:val="auto"/>
          <w:sz w:val="32"/>
          <w:szCs w:val="32"/>
          <w:lang w:eastAsia="zh-CN"/>
        </w:rPr>
        <w:t>意见</w:t>
      </w:r>
      <w:r>
        <w:rPr>
          <w:rFonts w:hint="eastAsia" w:ascii="仿宋" w:hAnsi="仿宋" w:eastAsia="仿宋" w:cs="仿宋"/>
          <w:color w:val="auto"/>
          <w:sz w:val="32"/>
          <w:szCs w:val="32"/>
          <w:lang w:val="en-US" w:eastAsia="zh-CN"/>
        </w:rPr>
        <w:t>]</w:t>
      </w:r>
    </w:p>
    <w:p>
      <w:pPr>
        <w:jc w:val="left"/>
        <w:rPr>
          <w:color w:val="auto"/>
          <w:sz w:val="32"/>
          <w:szCs w:val="32"/>
        </w:rPr>
      </w:pPr>
    </w:p>
    <w:p>
      <w:pPr>
        <w:jc w:val="left"/>
        <w:rPr>
          <w:color w:val="auto"/>
          <w:sz w:val="32"/>
          <w:szCs w:val="32"/>
        </w:rPr>
      </w:pPr>
    </w:p>
    <w:p>
      <w:pPr>
        <w:jc w:val="left"/>
        <w:rPr>
          <w:color w:val="auto"/>
          <w:sz w:val="32"/>
          <w:szCs w:val="32"/>
        </w:rPr>
      </w:pPr>
    </w:p>
    <w:p>
      <w:pPr>
        <w:jc w:val="left"/>
        <w:rPr>
          <w:color w:val="auto"/>
          <w:sz w:val="32"/>
          <w:szCs w:val="32"/>
        </w:rPr>
      </w:pPr>
    </w:p>
    <w:p>
      <w:pPr>
        <w:jc w:val="left"/>
        <w:rPr>
          <w:color w:val="auto"/>
          <w:sz w:val="32"/>
          <w:szCs w:val="32"/>
        </w:rPr>
      </w:pPr>
    </w:p>
    <w:p>
      <w:pPr>
        <w:rPr>
          <w:color w:val="auto"/>
          <w:sz w:val="32"/>
          <w:szCs w:val="32"/>
        </w:rPr>
      </w:pPr>
      <w:r>
        <w:rPr>
          <w:color w:val="auto"/>
          <w:sz w:val="32"/>
          <w:szCs w:val="32"/>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附件5</w:t>
      </w:r>
    </w:p>
    <w:p>
      <w:pPr>
        <w:jc w:val="center"/>
        <w:rPr>
          <w:color w:val="auto"/>
        </w:rPr>
      </w:pPr>
    </w:p>
    <w:p>
      <w:pPr>
        <w:jc w:val="center"/>
        <w:rPr>
          <w:color w:val="auto"/>
        </w:rPr>
      </w:pPr>
    </w:p>
    <w:p>
      <w:pPr>
        <w:jc w:val="center"/>
        <w:rPr>
          <w:color w:val="auto"/>
        </w:rPr>
      </w:pPr>
    </w:p>
    <w:p>
      <w:pPr>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河北省“5年一贯制”贯通培养申报书</w:t>
      </w:r>
    </w:p>
    <w:p>
      <w:pPr>
        <w:jc w:val="center"/>
        <w:rPr>
          <w:rFonts w:ascii="楷体" w:hAnsi="楷体" w:eastAsia="楷体" w:cs="楷体"/>
          <w:color w:val="auto"/>
          <w:sz w:val="32"/>
          <w:szCs w:val="32"/>
        </w:rPr>
      </w:pPr>
      <w:r>
        <w:rPr>
          <w:rFonts w:hint="eastAsia" w:ascii="楷体" w:hAnsi="楷体" w:eastAsia="楷体" w:cs="楷体"/>
          <w:color w:val="auto"/>
          <w:sz w:val="32"/>
          <w:szCs w:val="32"/>
        </w:rPr>
        <w:t>（封  皮）</w:t>
      </w: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spacing w:line="72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高职名称：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jc w:val="left"/>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中职专业：</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高职专业：</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中职联系人：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jc w:val="left"/>
        <w:rPr>
          <w:color w:val="auto"/>
        </w:rPr>
      </w:pPr>
      <w:r>
        <w:rPr>
          <w:color w:val="auto"/>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附件6</w:t>
      </w:r>
    </w:p>
    <w:p>
      <w:pPr>
        <w:shd w:val="solid" w:color="FFFFFF" w:fill="auto"/>
        <w:autoSpaceDN w:val="0"/>
        <w:spacing w:line="600" w:lineRule="exact"/>
        <w:jc w:val="center"/>
        <w:rPr>
          <w:rFonts w:ascii="方正小标宋简体" w:hAnsi="方正小标宋简体" w:eastAsia="方正小标宋简体" w:cs="方正小标宋简体"/>
          <w:color w:val="auto"/>
          <w:sz w:val="44"/>
          <w:szCs w:val="44"/>
          <w:shd w:val="clear" w:color="auto" w:fill="FFFFFF"/>
        </w:rPr>
      </w:pPr>
    </w:p>
    <w:p>
      <w:pPr>
        <w:shd w:val="solid" w:color="FFFFFF" w:fill="auto"/>
        <w:autoSpaceDN w:val="0"/>
        <w:spacing w:line="600" w:lineRule="exact"/>
        <w:jc w:val="center"/>
        <w:rPr>
          <w:rFonts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河北省“5年一贯制”贯通培养</w:t>
      </w:r>
    </w:p>
    <w:p>
      <w:pPr>
        <w:shd w:val="solid" w:color="FFFFFF" w:fill="auto"/>
        <w:autoSpaceDN w:val="0"/>
        <w:spacing w:line="600" w:lineRule="exact"/>
        <w:jc w:val="center"/>
        <w:rPr>
          <w:rFonts w:ascii="方正小标宋_GBK" w:hAnsi="方正小标宋_GBK" w:eastAsia="方正小标宋_GBK" w:cs="方正小标宋_GBK"/>
          <w:b/>
          <w:bCs/>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申报书目录</w:t>
      </w:r>
    </w:p>
    <w:p>
      <w:pPr>
        <w:shd w:val="solid" w:color="FFFFFF" w:fill="auto"/>
        <w:autoSpaceDN w:val="0"/>
        <w:spacing w:line="600" w:lineRule="exact"/>
        <w:jc w:val="center"/>
        <w:rPr>
          <w:rFonts w:ascii="仿宋" w:hAnsi="仿宋" w:eastAsia="仿宋"/>
          <w:color w:val="auto"/>
          <w:sz w:val="32"/>
          <w:shd w:val="clear" w:color="auto" w:fill="FFFFFF"/>
        </w:rPr>
      </w:pPr>
    </w:p>
    <w:p>
      <w:pPr>
        <w:shd w:val="solid" w:color="FFFFFF" w:fill="auto"/>
        <w:autoSpaceDN w:val="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一、中职、院校基本情况</w:t>
      </w:r>
    </w:p>
    <w:p>
      <w:pPr>
        <w:shd w:val="solid" w:color="FFFFFF" w:fill="auto"/>
        <w:autoSpaceDN w:val="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二、中职专业和高职专业简介</w:t>
      </w:r>
    </w:p>
    <w:p>
      <w:pPr>
        <w:shd w:val="solid" w:color="FFFFFF" w:fill="auto"/>
        <w:autoSpaceDN w:val="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三、“5年一贯制”贯通培养可行性报告</w:t>
      </w:r>
    </w:p>
    <w:p>
      <w:pPr>
        <w:shd w:val="solid" w:color="FFFFFF" w:fill="auto"/>
        <w:autoSpaceDN w:val="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四、“5年一贯制”贯通培养专业人才培养方案</w:t>
      </w:r>
    </w:p>
    <w:p>
      <w:pPr>
        <w:shd w:val="solid" w:color="FFFFFF" w:fill="auto"/>
        <w:autoSpaceDN w:val="0"/>
        <w:ind w:left="960" w:hanging="960" w:hangingChars="30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五、“5年一贯制”贯通培养联办协议书（单独举办</w:t>
      </w:r>
    </w:p>
    <w:p>
      <w:pPr>
        <w:shd w:val="solid" w:color="FFFFFF" w:fill="auto"/>
        <w:autoSpaceDN w:val="0"/>
        <w:ind w:left="960" w:hanging="960" w:hangingChars="30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“5年一贯制”贯通培养的高职不必提交）</w:t>
      </w:r>
    </w:p>
    <w:p>
      <w:pPr>
        <w:shd w:val="solid" w:color="FFFFFF" w:fill="auto"/>
        <w:autoSpaceDN w:val="0"/>
        <w:ind w:left="960" w:hanging="960" w:hangingChars="30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六、专家评审意见（单独举办“5年一贯制”贯通培养的</w:t>
      </w:r>
    </w:p>
    <w:p>
      <w:pPr>
        <w:shd w:val="solid" w:color="FFFFFF" w:fill="auto"/>
        <w:autoSpaceDN w:val="0"/>
        <w:ind w:left="960" w:hanging="960" w:hangingChars="30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高职，已通过高职专业设置备案的“5年一贯制”专</w:t>
      </w:r>
    </w:p>
    <w:p>
      <w:pPr>
        <w:shd w:val="solid" w:color="FFFFFF" w:fill="auto"/>
        <w:autoSpaceDN w:val="0"/>
        <w:ind w:left="960" w:hanging="960" w:hangingChars="30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业不必评审）</w:t>
      </w:r>
    </w:p>
    <w:p>
      <w:pPr>
        <w:numPr>
          <w:ilvl w:val="0"/>
          <w:numId w:val="0"/>
        </w:numPr>
        <w:shd w:val="solid" w:color="FFFFFF" w:fill="auto"/>
        <w:autoSpaceDN w:val="0"/>
        <w:spacing w:line="720" w:lineRule="exact"/>
        <w:jc w:val="left"/>
        <w:rPr>
          <w:rFonts w:hint="eastAsia" w:ascii="仿宋" w:hAnsi="仿宋" w:eastAsia="仿宋" w:cs="仿宋"/>
          <w:color w:val="auto"/>
          <w:sz w:val="32"/>
          <w:szCs w:val="32"/>
          <w:lang w:eastAsia="zh-CN"/>
        </w:rPr>
      </w:pPr>
      <w:r>
        <w:rPr>
          <w:rFonts w:hint="eastAsia" w:ascii="仿宋" w:hAnsi="仿宋" w:eastAsia="仿宋"/>
          <w:color w:val="auto"/>
          <w:sz w:val="32"/>
          <w:shd w:val="clear" w:color="auto" w:fill="FFFFFF"/>
          <w:lang w:val="en-US" w:eastAsia="zh-CN"/>
        </w:rPr>
        <w:t xml:space="preserve">    </w:t>
      </w:r>
      <w:r>
        <w:rPr>
          <w:rFonts w:hint="eastAsia" w:ascii="仿宋" w:hAnsi="仿宋" w:eastAsia="仿宋"/>
          <w:color w:val="auto"/>
          <w:sz w:val="32"/>
          <w:shd w:val="clear" w:color="auto" w:fill="FFFFFF"/>
        </w:rPr>
        <w:t>七、管理部门意见</w:t>
      </w:r>
      <w:r>
        <w:rPr>
          <w:rFonts w:hint="eastAsia" w:ascii="仿宋" w:hAnsi="仿宋" w:eastAsia="仿宋"/>
          <w:color w:val="auto"/>
          <w:sz w:val="32"/>
          <w:shd w:val="clear" w:color="auto" w:fill="FFFFFF"/>
          <w:lang w:val="en-US" w:eastAsia="zh-CN"/>
        </w:rPr>
        <w:t>[</w:t>
      </w:r>
      <w:r>
        <w:rPr>
          <w:rFonts w:hint="eastAsia" w:ascii="仿宋" w:hAnsi="仿宋" w:eastAsia="仿宋"/>
          <w:color w:val="auto"/>
          <w:sz w:val="32"/>
          <w:shd w:val="clear" w:color="auto" w:fill="FFFFFF"/>
        </w:rPr>
        <w:t>市教育局</w:t>
      </w:r>
      <w:r>
        <w:rPr>
          <w:rFonts w:hint="eastAsia" w:ascii="仿宋" w:hAnsi="仿宋" w:eastAsia="仿宋"/>
          <w:color w:val="auto"/>
          <w:sz w:val="32"/>
          <w:shd w:val="clear" w:color="auto" w:fill="FFFFFF"/>
          <w:lang w:eastAsia="zh-CN"/>
        </w:rPr>
        <w:t>汇总</w:t>
      </w:r>
      <w:r>
        <w:rPr>
          <w:rFonts w:hint="eastAsia" w:ascii="仿宋" w:hAnsi="仿宋" w:eastAsia="仿宋" w:cs="仿宋"/>
          <w:color w:val="auto"/>
          <w:sz w:val="32"/>
          <w:szCs w:val="32"/>
        </w:rPr>
        <w:t>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社会保障局</w:t>
      </w:r>
      <w:r>
        <w:rPr>
          <w:rFonts w:hint="eastAsia" w:ascii="仿宋" w:hAnsi="仿宋" w:eastAsia="仿宋" w:cs="仿宋"/>
          <w:color w:val="auto"/>
          <w:sz w:val="32"/>
          <w:szCs w:val="32"/>
          <w:lang w:eastAsia="zh-CN"/>
        </w:rPr>
        <w:t>、</w:t>
      </w:r>
    </w:p>
    <w:p>
      <w:pPr>
        <w:shd w:val="solid" w:color="FFFFFF" w:fill="auto"/>
        <w:autoSpaceDN w:val="0"/>
        <w:ind w:left="960" w:hanging="960" w:hangingChars="300"/>
        <w:jc w:val="left"/>
        <w:rPr>
          <w:rFonts w:hint="eastAsia" w:ascii="仿宋" w:hAnsi="仿宋" w:eastAsia="仿宋"/>
          <w:color w:val="auto"/>
          <w:sz w:val="32"/>
          <w:shd w:val="clear" w:color="auto" w:fill="FFFFFF"/>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改革委（局）</w:t>
      </w:r>
      <w:r>
        <w:rPr>
          <w:rFonts w:hint="eastAsia" w:ascii="仿宋" w:hAnsi="仿宋" w:eastAsia="仿宋" w:cs="仿宋"/>
          <w:color w:val="auto"/>
          <w:sz w:val="32"/>
          <w:szCs w:val="32"/>
          <w:lang w:eastAsia="zh-CN"/>
        </w:rPr>
        <w:t>意见</w:t>
      </w:r>
      <w:r>
        <w:rPr>
          <w:rFonts w:hint="eastAsia" w:ascii="仿宋" w:hAnsi="仿宋" w:eastAsia="仿宋" w:cs="仿宋"/>
          <w:color w:val="auto"/>
          <w:sz w:val="32"/>
          <w:szCs w:val="32"/>
          <w:lang w:val="en-US" w:eastAsia="zh-CN"/>
        </w:rPr>
        <w:t>,</w:t>
      </w:r>
      <w:r>
        <w:rPr>
          <w:rFonts w:hint="eastAsia" w:ascii="仿宋" w:hAnsi="仿宋" w:eastAsia="仿宋"/>
          <w:color w:val="auto"/>
          <w:sz w:val="32"/>
          <w:shd w:val="clear" w:color="auto" w:fill="FFFFFF"/>
        </w:rPr>
        <w:t>单独举办“5年一贯制”贯</w:t>
      </w:r>
    </w:p>
    <w:p>
      <w:pPr>
        <w:shd w:val="solid" w:color="FFFFFF" w:fill="auto"/>
        <w:autoSpaceDN w:val="0"/>
        <w:ind w:left="960" w:hanging="960" w:hangingChars="300"/>
        <w:jc w:val="left"/>
        <w:rPr>
          <w:rFonts w:hint="eastAsia" w:ascii="仿宋" w:hAnsi="仿宋" w:eastAsia="仿宋"/>
          <w:color w:val="auto"/>
          <w:sz w:val="32"/>
          <w:shd w:val="clear" w:color="auto" w:fill="FFFFFF"/>
        </w:rPr>
      </w:pPr>
      <w:r>
        <w:rPr>
          <w:rFonts w:hint="eastAsia" w:ascii="仿宋" w:hAnsi="仿宋" w:eastAsia="仿宋"/>
          <w:color w:val="auto"/>
          <w:sz w:val="32"/>
          <w:shd w:val="clear" w:color="auto" w:fill="FFFFFF"/>
          <w:lang w:val="en-US" w:eastAsia="zh-CN"/>
        </w:rPr>
        <w:t xml:space="preserve">        </w:t>
      </w:r>
      <w:r>
        <w:rPr>
          <w:rFonts w:hint="eastAsia" w:ascii="仿宋" w:hAnsi="仿宋" w:eastAsia="仿宋"/>
          <w:color w:val="auto"/>
          <w:sz w:val="32"/>
          <w:shd w:val="clear" w:color="auto" w:fill="FFFFFF"/>
        </w:rPr>
        <w:t>通培养的高职，已通过高职专业设置备案的“5年一贯</w:t>
      </w:r>
    </w:p>
    <w:p>
      <w:pPr>
        <w:shd w:val="solid" w:color="FFFFFF" w:fill="auto"/>
        <w:autoSpaceDN w:val="0"/>
        <w:ind w:left="960" w:hanging="960" w:hangingChars="300"/>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lang w:val="en-US" w:eastAsia="zh-CN"/>
        </w:rPr>
        <w:t xml:space="preserve">        </w:t>
      </w:r>
      <w:r>
        <w:rPr>
          <w:rFonts w:hint="eastAsia" w:ascii="仿宋" w:hAnsi="仿宋" w:eastAsia="仿宋"/>
          <w:color w:val="auto"/>
          <w:sz w:val="32"/>
          <w:shd w:val="clear" w:color="auto" w:fill="FFFFFF"/>
        </w:rPr>
        <w:t>制”专业不必提出意见</w:t>
      </w:r>
      <w:r>
        <w:rPr>
          <w:rFonts w:hint="eastAsia" w:ascii="仿宋" w:hAnsi="仿宋" w:eastAsia="仿宋" w:cs="仿宋"/>
          <w:color w:val="auto"/>
          <w:sz w:val="32"/>
          <w:szCs w:val="32"/>
          <w:lang w:val="en-US" w:eastAsia="zh-CN"/>
        </w:rPr>
        <w:t>]</w:t>
      </w:r>
    </w:p>
    <w:p>
      <w:pPr>
        <w:shd w:val="solid" w:color="FFFFFF" w:fill="auto"/>
        <w:autoSpaceDN w:val="0"/>
        <w:ind w:left="960" w:hanging="960" w:hangingChars="300"/>
        <w:jc w:val="left"/>
        <w:rPr>
          <w:rFonts w:hint="eastAsia" w:ascii="仿宋" w:hAnsi="仿宋" w:eastAsia="仿宋" w:cs="仿宋"/>
          <w:color w:val="auto"/>
          <w:sz w:val="32"/>
          <w:szCs w:val="32"/>
          <w:lang w:val="en-US" w:eastAsia="zh-CN"/>
        </w:rPr>
      </w:pPr>
      <w:r>
        <w:rPr>
          <w:rFonts w:hint="eastAsia"/>
          <w:color w:val="auto"/>
          <w:sz w:val="32"/>
          <w:szCs w:val="32"/>
          <w:lang w:val="en-US" w:eastAsia="zh-CN"/>
        </w:rPr>
        <w:t xml:space="preserve">    </w:t>
      </w: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高职单独举办“5年一贯制”贯通培养</w:t>
      </w:r>
      <w:r>
        <w:rPr>
          <w:rFonts w:hint="eastAsia" w:ascii="仿宋" w:hAnsi="仿宋" w:eastAsia="仿宋" w:cs="仿宋"/>
          <w:color w:val="auto"/>
          <w:sz w:val="32"/>
          <w:szCs w:val="32"/>
          <w:lang w:val="en-US" w:eastAsia="zh-CN"/>
        </w:rPr>
        <w:t>专业且已通过专</w:t>
      </w:r>
    </w:p>
    <w:p>
      <w:pPr>
        <w:shd w:val="solid" w:color="FFFFFF" w:fill="auto"/>
        <w:autoSpaceDN w:val="0"/>
        <w:ind w:left="958" w:leftChars="456"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业设置备案的，只需报附件13。</w:t>
      </w:r>
    </w:p>
    <w:p>
      <w:pPr>
        <w:jc w:val="left"/>
        <w:rPr>
          <w:color w:val="auto"/>
        </w:rPr>
      </w:pPr>
      <w:r>
        <w:rPr>
          <w:color w:val="auto"/>
          <w:sz w:val="32"/>
          <w:szCs w:val="32"/>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附件7</w:t>
      </w:r>
    </w:p>
    <w:p>
      <w:pPr>
        <w:jc w:val="center"/>
        <w:rPr>
          <w:color w:val="auto"/>
        </w:rPr>
      </w:pPr>
    </w:p>
    <w:p>
      <w:pPr>
        <w:jc w:val="center"/>
        <w:rPr>
          <w:color w:val="auto"/>
        </w:rPr>
      </w:pPr>
    </w:p>
    <w:p>
      <w:pPr>
        <w:jc w:val="center"/>
        <w:rPr>
          <w:color w:val="auto"/>
        </w:rPr>
      </w:pPr>
    </w:p>
    <w:p>
      <w:pPr>
        <w:jc w:val="center"/>
        <w:rPr>
          <w:color w:val="auto"/>
        </w:rPr>
      </w:pPr>
    </w:p>
    <w:p>
      <w:pPr>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河北省“2+2+2”贯通培养申报书</w:t>
      </w:r>
    </w:p>
    <w:p>
      <w:pPr>
        <w:jc w:val="center"/>
        <w:rPr>
          <w:rFonts w:ascii="楷体" w:hAnsi="楷体" w:eastAsia="楷体" w:cs="楷体"/>
          <w:color w:val="auto"/>
          <w:sz w:val="32"/>
          <w:szCs w:val="32"/>
        </w:rPr>
      </w:pPr>
      <w:r>
        <w:rPr>
          <w:rFonts w:hint="eastAsia" w:ascii="楷体" w:hAnsi="楷体" w:eastAsia="楷体" w:cs="楷体"/>
          <w:color w:val="auto"/>
          <w:sz w:val="32"/>
          <w:szCs w:val="32"/>
        </w:rPr>
        <w:t>（封  皮）</w:t>
      </w:r>
    </w:p>
    <w:p>
      <w:pPr>
        <w:jc w:val="center"/>
        <w:rPr>
          <w:color w:val="auto"/>
        </w:rPr>
      </w:pPr>
    </w:p>
    <w:p>
      <w:pPr>
        <w:jc w:val="center"/>
        <w:rPr>
          <w:color w:val="auto"/>
        </w:rPr>
      </w:pPr>
    </w:p>
    <w:p>
      <w:pPr>
        <w:jc w:val="center"/>
        <w:rPr>
          <w:color w:val="auto"/>
        </w:rPr>
      </w:pPr>
    </w:p>
    <w:p>
      <w:pPr>
        <w:spacing w:line="72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高职名称：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rPr>
          <w:color w:val="auto"/>
        </w:rPr>
      </w:pPr>
      <w:r>
        <w:rPr>
          <w:rFonts w:hint="eastAsia" w:ascii="方正小标宋简体" w:hAnsi="方正小标宋简体" w:eastAsia="方正小标宋简体" w:cs="方正小标宋简体"/>
          <w:color w:val="auto"/>
          <w:sz w:val="32"/>
          <w:szCs w:val="32"/>
        </w:rPr>
        <w:t>企业名称：</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（盖章）</w:t>
      </w:r>
    </w:p>
    <w:p>
      <w:pPr>
        <w:spacing w:line="720" w:lineRule="exact"/>
        <w:ind w:firstLine="1280" w:firstLineChars="400"/>
        <w:jc w:val="left"/>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中职专业：</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高职专业：</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中职联系人：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高职联系人：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u w:val="single"/>
        </w:rPr>
      </w:pPr>
      <w:r>
        <w:rPr>
          <w:rFonts w:hint="eastAsia" w:ascii="方正小标宋简体" w:hAnsi="方正小标宋简体" w:eastAsia="方正小标宋简体" w:cs="方正小标宋简体"/>
          <w:color w:val="auto"/>
          <w:sz w:val="32"/>
          <w:szCs w:val="32"/>
        </w:rPr>
        <w:t>企业联系人：</w:t>
      </w:r>
      <w:r>
        <w:rPr>
          <w:rFonts w:hint="eastAsia" w:ascii="方正小标宋简体" w:hAnsi="方正小标宋简体" w:eastAsia="方正小标宋简体" w:cs="方正小标宋简体"/>
          <w:color w:val="auto"/>
          <w:sz w:val="32"/>
          <w:szCs w:val="32"/>
          <w:u w:val="single"/>
        </w:rPr>
        <w:t xml:space="preserve">        </w:t>
      </w:r>
      <w:r>
        <w:rPr>
          <w:rFonts w:hint="eastAsia" w:ascii="方正小标宋简体" w:hAnsi="方正小标宋简体" w:eastAsia="方正小标宋简体" w:cs="方正小标宋简体"/>
          <w:color w:val="auto"/>
          <w:sz w:val="32"/>
          <w:szCs w:val="32"/>
        </w:rPr>
        <w:t>电话：</w:t>
      </w:r>
      <w:r>
        <w:rPr>
          <w:rFonts w:hint="eastAsia" w:ascii="方正小标宋简体" w:hAnsi="方正小标宋简体" w:eastAsia="方正小标宋简体" w:cs="方正小标宋简体"/>
          <w:color w:val="auto"/>
          <w:sz w:val="32"/>
          <w:szCs w:val="32"/>
          <w:u w:val="single"/>
        </w:rPr>
        <w:t xml:space="preserve">            </w:t>
      </w:r>
    </w:p>
    <w:p>
      <w:pPr>
        <w:spacing w:line="720" w:lineRule="exact"/>
        <w:ind w:firstLine="1280" w:firstLineChars="400"/>
        <w:rPr>
          <w:rFonts w:ascii="方正小标宋简体" w:hAnsi="方正小标宋简体" w:eastAsia="方正小标宋简体" w:cs="方正小标宋简体"/>
          <w:color w:val="auto"/>
          <w:sz w:val="32"/>
          <w:szCs w:val="32"/>
        </w:rPr>
      </w:pPr>
    </w:p>
    <w:p>
      <w:pPr>
        <w:jc w:val="left"/>
        <w:rPr>
          <w:color w:val="auto"/>
        </w:rPr>
      </w:pPr>
      <w:r>
        <w:rPr>
          <w:color w:val="auto"/>
        </w:rPr>
        <w:br w:type="page"/>
      </w:r>
    </w:p>
    <w:p>
      <w:pPr>
        <w:shd w:val="solid" w:color="FFFFFF" w:fill="auto"/>
        <w:autoSpaceDN w:val="0"/>
        <w:spacing w:line="600" w:lineRule="exact"/>
        <w:jc w:val="left"/>
        <w:rPr>
          <w:rFonts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附件8</w:t>
      </w:r>
    </w:p>
    <w:p>
      <w:pPr>
        <w:shd w:val="solid" w:color="FFFFFF" w:fill="auto"/>
        <w:autoSpaceDN w:val="0"/>
        <w:spacing w:line="600" w:lineRule="exact"/>
        <w:jc w:val="center"/>
        <w:rPr>
          <w:rFonts w:ascii="方正小标宋简体" w:hAnsi="方正小标宋简体" w:eastAsia="方正小标宋简体" w:cs="方正小标宋简体"/>
          <w:color w:val="auto"/>
          <w:sz w:val="44"/>
          <w:szCs w:val="44"/>
          <w:shd w:val="clear" w:color="auto" w:fill="FFFFFF"/>
        </w:rPr>
      </w:pPr>
    </w:p>
    <w:p>
      <w:pPr>
        <w:shd w:val="solid" w:color="FFFFFF" w:fill="auto"/>
        <w:autoSpaceDN w:val="0"/>
        <w:spacing w:line="600" w:lineRule="exact"/>
        <w:jc w:val="center"/>
        <w:rPr>
          <w:rFonts w:ascii="方正小标宋_GBK" w:hAnsi="方正小标宋_GBK" w:eastAsia="方正小标宋_GBK" w:cs="方正小标宋_GBK"/>
          <w:b/>
          <w:bCs/>
          <w:color w:val="auto"/>
          <w:spacing w:val="-23"/>
          <w:sz w:val="44"/>
          <w:szCs w:val="44"/>
          <w:shd w:val="clear" w:color="auto" w:fill="FFFFFF"/>
        </w:rPr>
      </w:pPr>
      <w:r>
        <w:rPr>
          <w:rFonts w:hint="eastAsia" w:ascii="方正小标宋_GBK" w:hAnsi="方正小标宋_GBK" w:eastAsia="方正小标宋_GBK" w:cs="方正小标宋_GBK"/>
          <w:color w:val="auto"/>
          <w:spacing w:val="-23"/>
          <w:sz w:val="44"/>
          <w:szCs w:val="44"/>
          <w:shd w:val="clear" w:color="auto" w:fill="FFFFFF"/>
        </w:rPr>
        <w:t>河北省“2+2+2”贯通培养申报书目录</w:t>
      </w:r>
    </w:p>
    <w:p>
      <w:pPr>
        <w:shd w:val="solid" w:color="FFFFFF" w:fill="auto"/>
        <w:autoSpaceDN w:val="0"/>
        <w:spacing w:line="600" w:lineRule="exact"/>
        <w:jc w:val="center"/>
        <w:rPr>
          <w:rFonts w:ascii="仿宋" w:hAnsi="仿宋" w:eastAsia="仿宋"/>
          <w:color w:val="auto"/>
          <w:sz w:val="32"/>
          <w:shd w:val="clear" w:color="auto" w:fill="FFFFFF"/>
        </w:rPr>
      </w:pP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一、中职、高职和企业基本情况</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二、对接的中职专业、高职专业和企业职业岗位简介</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三、“2+2+2”贯通培养可行性报告</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四、“2+2+2”贯通培养专业人才培养方案</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五、“2+2+2”贯通培养联办协议书</w:t>
      </w:r>
    </w:p>
    <w:p>
      <w:p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olor w:val="auto"/>
          <w:sz w:val="32"/>
          <w:shd w:val="clear" w:color="auto" w:fill="FFFFFF"/>
        </w:rPr>
        <w:t xml:space="preserve">    六、专家评审意见</w:t>
      </w:r>
    </w:p>
    <w:p>
      <w:pPr>
        <w:numPr>
          <w:ilvl w:val="0"/>
          <w:numId w:val="0"/>
        </w:numPr>
        <w:shd w:val="solid" w:color="FFFFFF" w:fill="auto"/>
        <w:autoSpaceDN w:val="0"/>
        <w:spacing w:line="720" w:lineRule="exact"/>
        <w:jc w:val="left"/>
        <w:rPr>
          <w:rFonts w:hint="eastAsia" w:ascii="仿宋" w:hAnsi="仿宋" w:eastAsia="仿宋" w:cs="仿宋"/>
          <w:color w:val="auto"/>
          <w:sz w:val="32"/>
          <w:szCs w:val="32"/>
          <w:lang w:eastAsia="zh-CN"/>
        </w:rPr>
      </w:pPr>
      <w:r>
        <w:rPr>
          <w:rFonts w:hint="eastAsia" w:ascii="仿宋" w:hAnsi="仿宋" w:eastAsia="仿宋"/>
          <w:color w:val="auto"/>
          <w:sz w:val="32"/>
          <w:shd w:val="clear" w:color="auto" w:fill="FFFFFF"/>
          <w:lang w:val="en-US" w:eastAsia="zh-CN"/>
        </w:rPr>
        <w:t xml:space="preserve">    </w:t>
      </w:r>
      <w:r>
        <w:rPr>
          <w:rFonts w:hint="eastAsia" w:ascii="仿宋" w:hAnsi="仿宋" w:eastAsia="仿宋"/>
          <w:color w:val="auto"/>
          <w:sz w:val="32"/>
          <w:shd w:val="clear" w:color="auto" w:fill="FFFFFF"/>
        </w:rPr>
        <w:t>七、管理部门意见</w:t>
      </w:r>
      <w:r>
        <w:rPr>
          <w:rFonts w:hint="eastAsia" w:ascii="仿宋" w:hAnsi="仿宋" w:eastAsia="仿宋"/>
          <w:color w:val="auto"/>
          <w:sz w:val="32"/>
          <w:shd w:val="clear" w:color="auto" w:fill="FFFFFF"/>
          <w:lang w:val="en-US" w:eastAsia="zh-CN"/>
        </w:rPr>
        <w:t>[</w:t>
      </w:r>
      <w:r>
        <w:rPr>
          <w:rFonts w:hint="eastAsia" w:ascii="仿宋" w:hAnsi="仿宋" w:eastAsia="仿宋"/>
          <w:color w:val="auto"/>
          <w:sz w:val="32"/>
          <w:shd w:val="clear" w:color="auto" w:fill="FFFFFF"/>
        </w:rPr>
        <w:t>市教育局</w:t>
      </w:r>
      <w:r>
        <w:rPr>
          <w:rFonts w:hint="eastAsia" w:ascii="仿宋" w:hAnsi="仿宋" w:eastAsia="仿宋"/>
          <w:color w:val="auto"/>
          <w:sz w:val="32"/>
          <w:shd w:val="clear" w:color="auto" w:fill="FFFFFF"/>
          <w:lang w:eastAsia="zh-CN"/>
        </w:rPr>
        <w:t>汇总</w:t>
      </w:r>
      <w:r>
        <w:rPr>
          <w:rFonts w:hint="eastAsia" w:ascii="仿宋" w:hAnsi="仿宋" w:eastAsia="仿宋" w:cs="仿宋"/>
          <w:color w:val="auto"/>
          <w:sz w:val="32"/>
          <w:szCs w:val="32"/>
        </w:rPr>
        <w:t>人力资源</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社会保障局</w:t>
      </w:r>
      <w:r>
        <w:rPr>
          <w:rFonts w:hint="eastAsia" w:ascii="仿宋" w:hAnsi="仿宋" w:eastAsia="仿宋" w:cs="仿宋"/>
          <w:color w:val="auto"/>
          <w:sz w:val="32"/>
          <w:szCs w:val="32"/>
          <w:lang w:eastAsia="zh-CN"/>
        </w:rPr>
        <w:t>、</w:t>
      </w:r>
    </w:p>
    <w:p>
      <w:pPr>
        <w:numPr>
          <w:ilvl w:val="0"/>
          <w:numId w:val="0"/>
        </w:numPr>
        <w:shd w:val="solid" w:color="FFFFFF" w:fill="auto"/>
        <w:autoSpaceDN w:val="0"/>
        <w:spacing w:line="720" w:lineRule="exact"/>
        <w:jc w:val="left"/>
        <w:rPr>
          <w:rFonts w:ascii="仿宋" w:hAnsi="仿宋" w:eastAsia="仿宋"/>
          <w:color w:val="auto"/>
          <w:sz w:val="32"/>
          <w:shd w:val="clear" w:color="auto" w:fill="FFFFFF"/>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改革委（局）</w:t>
      </w:r>
      <w:r>
        <w:rPr>
          <w:rFonts w:hint="eastAsia" w:ascii="仿宋" w:hAnsi="仿宋" w:eastAsia="仿宋" w:cs="仿宋"/>
          <w:color w:val="auto"/>
          <w:sz w:val="32"/>
          <w:szCs w:val="32"/>
          <w:lang w:eastAsia="zh-CN"/>
        </w:rPr>
        <w:t>意见</w:t>
      </w:r>
      <w:r>
        <w:rPr>
          <w:rFonts w:hint="eastAsia" w:ascii="仿宋" w:hAnsi="仿宋" w:eastAsia="仿宋" w:cs="仿宋"/>
          <w:color w:val="auto"/>
          <w:sz w:val="32"/>
          <w:szCs w:val="32"/>
          <w:lang w:val="en-US" w:eastAsia="zh-CN"/>
        </w:rPr>
        <w:t>]</w:t>
      </w:r>
    </w:p>
    <w:p>
      <w:pPr>
        <w:spacing w:line="720" w:lineRule="exact"/>
        <w:jc w:val="left"/>
        <w:rPr>
          <w:color w:val="auto"/>
          <w:sz w:val="32"/>
          <w:szCs w:val="32"/>
        </w:rPr>
      </w:pPr>
    </w:p>
    <w:p>
      <w:pPr>
        <w:jc w:val="left"/>
        <w:rPr>
          <w:color w:val="auto"/>
          <w:sz w:val="32"/>
          <w:szCs w:val="32"/>
        </w:rPr>
      </w:pPr>
    </w:p>
    <w:p>
      <w:pPr>
        <w:pStyle w:val="2"/>
        <w:rPr>
          <w:color w:val="auto"/>
          <w:sz w:val="32"/>
          <w:szCs w:val="32"/>
        </w:rPr>
      </w:pPr>
      <w:r>
        <w:rPr>
          <w:color w:val="auto"/>
          <w:sz w:val="32"/>
          <w:szCs w:val="32"/>
        </w:rPr>
        <w:br w:type="page"/>
      </w:r>
    </w:p>
    <w:p>
      <w:pPr>
        <w:spacing w:line="560" w:lineRule="exact"/>
        <w:jc w:val="left"/>
        <w:outlineLvl w:val="0"/>
        <w:rPr>
          <w:rFonts w:ascii="黑体" w:hAnsi="黑体" w:eastAsia="黑体" w:cs="黑体"/>
          <w:color w:val="auto"/>
          <w:w w:val="95"/>
          <w:sz w:val="32"/>
          <w:szCs w:val="32"/>
        </w:rPr>
      </w:pPr>
      <w:r>
        <w:rPr>
          <w:rFonts w:hint="eastAsia" w:ascii="黑体" w:hAnsi="黑体" w:eastAsia="黑体" w:cs="黑体"/>
          <w:color w:val="auto"/>
          <w:w w:val="95"/>
          <w:sz w:val="32"/>
          <w:szCs w:val="32"/>
        </w:rPr>
        <w:t>附件9</w:t>
      </w:r>
    </w:p>
    <w:p>
      <w:pPr>
        <w:spacing w:line="560" w:lineRule="exact"/>
        <w:jc w:val="center"/>
        <w:outlineLvl w:val="0"/>
        <w:rPr>
          <w:rFonts w:ascii="仿宋_GB2312" w:hAnsi="仿宋_GB2312" w:eastAsia="仿宋_GB2312" w:cs="仿宋_GB2312"/>
          <w:color w:val="auto"/>
          <w:w w:val="95"/>
          <w:sz w:val="32"/>
          <w:szCs w:val="32"/>
        </w:rPr>
      </w:pPr>
    </w:p>
    <w:p>
      <w:pPr>
        <w:shd w:val="solid" w:color="FFFFFF" w:fill="auto"/>
        <w:autoSpaceDN w:val="0"/>
        <w:spacing w:line="600" w:lineRule="exact"/>
        <w:jc w:val="center"/>
        <w:rPr>
          <w:rFonts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申报书文本格式</w:t>
      </w:r>
    </w:p>
    <w:p>
      <w:pPr>
        <w:spacing w:line="560" w:lineRule="exact"/>
        <w:rPr>
          <w:rFonts w:hint="eastAsia" w:ascii="黑体" w:hAnsi="黑体" w:eastAsia="黑体" w:cs="黑体"/>
          <w:color w:val="auto"/>
        </w:rPr>
      </w:pPr>
    </w:p>
    <w:p>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文内格式</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题    目：方正小标宋 二号</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副 标 题：方正楷体 三号</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正    文：方正仿宋 三号</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一级标题: 三号黑体</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二级标题: 楷体三号 加粗</w:t>
      </w:r>
      <w:bookmarkStart w:id="2" w:name="_GoBack"/>
      <w:bookmarkEnd w:id="2"/>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三级标题: 方正仿宋 加粗</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行间距采用30磅</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 xml:space="preserve">页边距：上3cm、下2.6cm、左2.8cm、右2.8cm  </w:t>
      </w:r>
    </w:p>
    <w:p>
      <w:pPr>
        <w:spacing w:line="560" w:lineRule="exact"/>
        <w:ind w:firstLine="640" w:firstLineChars="200"/>
        <w:rPr>
          <w:rFonts w:ascii="仿宋" w:hAnsi="仿宋" w:eastAsia="仿宋" w:cs="仿宋"/>
          <w:bCs/>
          <w:color w:val="auto"/>
          <w:sz w:val="32"/>
          <w:szCs w:val="32"/>
        </w:rPr>
      </w:pPr>
    </w:p>
    <w:p>
      <w:pPr>
        <w:spacing w:line="560" w:lineRule="exact"/>
        <w:ind w:firstLine="640" w:firstLineChars="200"/>
        <w:rPr>
          <w:rFonts w:ascii="宋体" w:hAnsi="宋体"/>
          <w:color w:val="auto"/>
          <w:sz w:val="32"/>
        </w:rPr>
      </w:pPr>
    </w:p>
    <w:p>
      <w:pPr>
        <w:rPr>
          <w:rFonts w:ascii="宋体" w:hAnsi="宋体"/>
          <w:color w:val="auto"/>
          <w:sz w:val="32"/>
        </w:rPr>
      </w:pPr>
      <w:r>
        <w:rPr>
          <w:rFonts w:ascii="宋体" w:hAnsi="宋体"/>
          <w:color w:val="auto"/>
          <w:sz w:val="32"/>
        </w:rPr>
        <w:br w:type="page"/>
      </w:r>
    </w:p>
    <w:p>
      <w:pPr>
        <w:spacing w:line="560" w:lineRule="exact"/>
        <w:jc w:val="left"/>
        <w:outlineLvl w:val="0"/>
        <w:rPr>
          <w:rFonts w:ascii="黑体" w:hAnsi="黑体" w:eastAsia="黑体" w:cs="黑体"/>
          <w:color w:val="auto"/>
          <w:w w:val="95"/>
          <w:sz w:val="32"/>
          <w:szCs w:val="32"/>
        </w:rPr>
      </w:pPr>
      <w:r>
        <w:rPr>
          <w:rFonts w:hint="eastAsia" w:ascii="黑体" w:hAnsi="黑体" w:eastAsia="黑体" w:cs="黑体"/>
          <w:color w:val="auto"/>
          <w:w w:val="95"/>
          <w:sz w:val="32"/>
          <w:szCs w:val="32"/>
        </w:rPr>
        <w:t>附件10</w:t>
      </w:r>
    </w:p>
    <w:p>
      <w:pPr>
        <w:pStyle w:val="2"/>
        <w:jc w:val="center"/>
        <w:rPr>
          <w:rFonts w:ascii="仿宋" w:hAnsi="仿宋" w:eastAsia="仿宋" w:cs="仿宋"/>
          <w:color w:val="auto"/>
          <w:sz w:val="28"/>
          <w:szCs w:val="28"/>
        </w:rPr>
      </w:pPr>
      <w:r>
        <w:rPr>
          <w:rFonts w:hint="eastAsia" w:ascii="仿宋" w:hAnsi="仿宋" w:eastAsia="仿宋" w:cs="仿宋"/>
          <w:b/>
          <w:bCs/>
          <w:color w:val="auto"/>
          <w:kern w:val="0"/>
          <w:sz w:val="28"/>
          <w:szCs w:val="28"/>
        </w:rPr>
        <w:t>河北省职教本科学校及现有专业一览表</w:t>
      </w:r>
    </w:p>
    <w:tbl>
      <w:tblPr>
        <w:tblStyle w:val="6"/>
        <w:tblW w:w="7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2867"/>
        <w:gridCol w:w="850"/>
        <w:gridCol w:w="2267"/>
        <w:gridCol w:w="383"/>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kern w:val="0"/>
                <w:szCs w:val="21"/>
              </w:rPr>
            </w:pPr>
            <w:r>
              <w:rPr>
                <w:rFonts w:hint="eastAsia" w:ascii="仿宋" w:hAnsi="仿宋" w:eastAsia="仿宋" w:cs="仿宋"/>
                <w:b/>
                <w:bCs/>
                <w:color w:val="auto"/>
                <w:kern w:val="0"/>
                <w:szCs w:val="21"/>
              </w:rPr>
              <w:t>序号</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szCs w:val="21"/>
              </w:rPr>
            </w:pPr>
            <w:r>
              <w:rPr>
                <w:rFonts w:hint="eastAsia" w:ascii="仿宋" w:hAnsi="仿宋" w:eastAsia="仿宋" w:cs="仿宋"/>
                <w:b/>
                <w:bCs/>
                <w:color w:val="auto"/>
                <w:kern w:val="0"/>
                <w:szCs w:val="21"/>
              </w:rPr>
              <w:t>学校名称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kern w:val="0"/>
                <w:szCs w:val="21"/>
              </w:rPr>
            </w:pPr>
            <w:r>
              <w:rPr>
                <w:rFonts w:hint="eastAsia" w:ascii="仿宋" w:hAnsi="仿宋" w:eastAsia="仿宋" w:cs="仿宋"/>
                <w:b/>
                <w:bCs/>
                <w:color w:val="auto"/>
                <w:kern w:val="0"/>
                <w:szCs w:val="21"/>
              </w:rPr>
              <w:t>专业</w:t>
            </w:r>
          </w:p>
          <w:p>
            <w:pPr>
              <w:widowControl/>
              <w:jc w:val="center"/>
              <w:textAlignment w:val="top"/>
              <w:rPr>
                <w:rFonts w:ascii="仿宋" w:hAnsi="仿宋" w:eastAsia="仿宋" w:cs="仿宋"/>
                <w:b/>
                <w:bCs/>
                <w:color w:val="auto"/>
                <w:szCs w:val="21"/>
              </w:rPr>
            </w:pPr>
            <w:r>
              <w:rPr>
                <w:rFonts w:hint="eastAsia" w:ascii="仿宋" w:hAnsi="仿宋" w:eastAsia="仿宋" w:cs="仿宋"/>
                <w:b/>
                <w:bCs/>
                <w:color w:val="auto"/>
                <w:kern w:val="0"/>
                <w:szCs w:val="21"/>
              </w:rPr>
              <w:t>代码</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szCs w:val="21"/>
              </w:rPr>
            </w:pPr>
            <w:r>
              <w:rPr>
                <w:rFonts w:hint="eastAsia" w:ascii="仿宋" w:hAnsi="仿宋" w:eastAsia="仿宋" w:cs="仿宋"/>
                <w:b/>
                <w:bCs/>
                <w:color w:val="auto"/>
                <w:kern w:val="0"/>
                <w:szCs w:val="21"/>
              </w:rPr>
              <w:t>专业名称</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szCs w:val="21"/>
              </w:rPr>
            </w:pPr>
            <w:r>
              <w:rPr>
                <w:rFonts w:hint="eastAsia" w:ascii="仿宋" w:hAnsi="仿宋" w:eastAsia="仿宋" w:cs="仿宋"/>
                <w:b/>
                <w:bCs/>
                <w:color w:val="auto"/>
                <w:kern w:val="0"/>
                <w:szCs w:val="21"/>
              </w:rPr>
              <w:t>学制</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szCs w:val="21"/>
              </w:rPr>
            </w:pPr>
            <w:r>
              <w:rPr>
                <w:rFonts w:hint="eastAsia" w:ascii="仿宋" w:hAnsi="仿宋" w:eastAsia="仿宋" w:cs="仿宋"/>
                <w:b/>
                <w:bCs/>
                <w:color w:val="auto"/>
                <w:kern w:val="0"/>
                <w:szCs w:val="21"/>
              </w:rPr>
              <w:t>是否国控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220801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生态环境工程技术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260304</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机器人技术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260702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新能源汽车工程技术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310301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现代通信工程</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5</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310202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网络工程技术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6</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240102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建筑装饰工程</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7</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350105</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服装与服饰设计</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8</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spacing w:val="-20"/>
                <w:kern w:val="0"/>
                <w:szCs w:val="21"/>
              </w:rPr>
              <w:t>280402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服装工程技术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9</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310203</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软件工程技术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10</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330301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大数据与财务管理</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11</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spacing w:val="-6"/>
                <w:kern w:val="0"/>
                <w:szCs w:val="21"/>
              </w:rPr>
              <w:t>机械设计制造及自动化</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12</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智能制造工程技术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13</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260302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电气工程及自动化</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14</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260701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汽车工程技术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15</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330701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电子商务</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16</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260301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机械电子工程技术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17</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240301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建筑工程</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18</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河北科技工程职业技术大学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300203</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汽车服务工程技术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19</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260702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新能源汽车工程技术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20</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310203</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软件工程技术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21</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spacing w:val="-6"/>
                <w:kern w:val="0"/>
                <w:szCs w:val="21"/>
              </w:rPr>
              <w:t>机械设计制造及自动化</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22</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220402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石油工程技术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23</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330602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市场营销</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24</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270202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spacing w:val="-6"/>
                <w:kern w:val="0"/>
                <w:szCs w:val="21"/>
              </w:rPr>
              <w:t>化工智能制造工程技术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25</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330302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大数据与会计</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26</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260701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汽车工程技术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27</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270201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应用化工技术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28</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260104</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工业设计</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29</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270203</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现代精细化工技术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30</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310202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网络工程技术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31</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260302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电气工程及自动化</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32</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340102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酒店管理</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33</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310101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电子信息工程技术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34</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220801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生态环境工程技术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35</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240502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建设工程管理</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36</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河北石油职业技术大学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spacing w:val="-20"/>
                <w:kern w:val="0"/>
                <w:szCs w:val="21"/>
              </w:rPr>
              <w:t>240401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建筑环境与能源工程</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37</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310203</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软件工程技术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38</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260305</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自动化技术与应用</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39</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260106</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材料成型及控制工程</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40</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230401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钢铁智能冶金技术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41</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spacing w:val="-6"/>
                <w:kern w:val="0"/>
                <w:szCs w:val="21"/>
              </w:rPr>
              <w:t>机械设计制造及自动化</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42</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310101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电子信息工程技术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43</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330302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大数据与会计</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44</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330802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现代物流管理</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45</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260702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新能源汽车工程技术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46</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260102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智能制造工程技术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47</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310102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物联网工程技术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48</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330501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国际经济与贸易</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49</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240302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智能建造工程</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50</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260701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汽车工程技术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51</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270201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应用化工技术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52</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220801</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生态环境工程技术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blHeader/>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kern w:val="0"/>
                <w:szCs w:val="21"/>
              </w:rPr>
            </w:pPr>
            <w:r>
              <w:rPr>
                <w:rFonts w:hint="eastAsia" w:ascii="仿宋" w:hAnsi="仿宋" w:eastAsia="仿宋" w:cs="仿宋"/>
                <w:color w:val="auto"/>
                <w:kern w:val="0"/>
                <w:szCs w:val="21"/>
              </w:rPr>
              <w:t>53</w:t>
            </w:r>
          </w:p>
        </w:tc>
        <w:tc>
          <w:tcPr>
            <w:tcW w:w="2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河北工业职业技术大学</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310202</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网络工程技术</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4</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color w:val="auto"/>
                <w:szCs w:val="21"/>
              </w:rPr>
            </w:pPr>
            <w:r>
              <w:rPr>
                <w:rFonts w:hint="eastAsia" w:ascii="仿宋" w:hAnsi="仿宋" w:eastAsia="仿宋" w:cs="仿宋"/>
                <w:color w:val="auto"/>
                <w:kern w:val="0"/>
                <w:szCs w:val="21"/>
              </w:rPr>
              <w:t>否</w:t>
            </w:r>
          </w:p>
        </w:tc>
      </w:tr>
    </w:tbl>
    <w:p>
      <w:pPr>
        <w:jc w:val="left"/>
        <w:rPr>
          <w:rFonts w:ascii="黑体" w:hAnsi="黑体" w:eastAsia="黑体" w:cs="黑体"/>
          <w:color w:val="auto"/>
          <w:w w:val="95"/>
          <w:sz w:val="32"/>
          <w:szCs w:val="32"/>
        </w:rPr>
      </w:pPr>
      <w:r>
        <w:rPr>
          <w:rFonts w:hint="eastAsia" w:ascii="黑体" w:hAnsi="黑体" w:eastAsia="黑体" w:cs="黑体"/>
          <w:color w:val="auto"/>
          <w:w w:val="95"/>
          <w:sz w:val="32"/>
          <w:szCs w:val="32"/>
        </w:rPr>
        <w:br w:type="page"/>
      </w:r>
    </w:p>
    <w:p>
      <w:pPr>
        <w:spacing w:line="560" w:lineRule="exact"/>
        <w:jc w:val="left"/>
        <w:outlineLvl w:val="0"/>
        <w:rPr>
          <w:rFonts w:ascii="黑体" w:hAnsi="黑体" w:eastAsia="黑体" w:cs="黑体"/>
          <w:color w:val="auto"/>
          <w:w w:val="95"/>
          <w:sz w:val="32"/>
          <w:szCs w:val="32"/>
        </w:rPr>
      </w:pPr>
      <w:r>
        <w:rPr>
          <w:rFonts w:hint="eastAsia" w:ascii="黑体" w:hAnsi="黑体" w:eastAsia="黑体" w:cs="黑体"/>
          <w:color w:val="auto"/>
          <w:w w:val="95"/>
          <w:sz w:val="32"/>
          <w:szCs w:val="32"/>
        </w:rPr>
        <w:t>附件11</w:t>
      </w:r>
    </w:p>
    <w:p>
      <w:pPr>
        <w:rPr>
          <w:color w:val="auto"/>
        </w:rPr>
      </w:pPr>
    </w:p>
    <w:p>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shd w:val="clear" w:color="auto" w:fill="FFFFFF"/>
        </w:rPr>
        <w:t>河北省应用型本科学校名单</w:t>
      </w:r>
    </w:p>
    <w:p>
      <w:pPr>
        <w:rPr>
          <w:rFonts w:ascii="方正小标宋_GBK" w:hAnsi="方正小标宋_GBK" w:eastAsia="方正小标宋_GBK" w:cs="方正小标宋_GBK"/>
          <w:color w:val="auto"/>
          <w:sz w:val="32"/>
          <w:szCs w:val="32"/>
        </w:rPr>
      </w:pPr>
    </w:p>
    <w:p>
      <w:pP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 xml:space="preserve">    第一批应用型本科（10所）</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北华航天学院、河北科技师范学院、河北民族师范学院、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石家庄学院、保定学院、河大工商学院、科大理工学院、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河北传媒学院、河北外国语学院、燕京理工学院</w:t>
      </w:r>
    </w:p>
    <w:p>
      <w:pPr>
        <w:rPr>
          <w:rFonts w:ascii="仿宋" w:hAnsi="仿宋" w:eastAsia="仿宋" w:cs="仿宋"/>
          <w:color w:val="auto"/>
          <w:sz w:val="32"/>
          <w:szCs w:val="32"/>
        </w:rPr>
      </w:pPr>
    </w:p>
    <w:p>
      <w:pP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 xml:space="preserve">    第二批应用型本科（10所）</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河北金融学院、河北北方学院、廊坊师范学院、河北环境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工程学院、河北水利电力学院、邯郸学院、衡水学院、邢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台学院、河北美术学院、河北科技学院</w:t>
      </w:r>
    </w:p>
    <w:p>
      <w:pPr>
        <w:pStyle w:val="2"/>
        <w:rPr>
          <w:rFonts w:ascii="仿宋" w:hAnsi="仿宋" w:eastAsia="仿宋" w:cs="仿宋"/>
          <w:color w:val="auto"/>
          <w:sz w:val="32"/>
          <w:szCs w:val="32"/>
        </w:rPr>
      </w:pPr>
    </w:p>
    <w:p>
      <w:pPr>
        <w:rPr>
          <w:rFonts w:ascii="仿宋" w:hAnsi="仿宋" w:eastAsia="仿宋" w:cs="仿宋"/>
          <w:color w:val="auto"/>
          <w:sz w:val="32"/>
          <w:szCs w:val="32"/>
        </w:rPr>
      </w:pPr>
    </w:p>
    <w:p>
      <w:pPr>
        <w:pStyle w:val="2"/>
        <w:rPr>
          <w:rFonts w:ascii="仿宋" w:hAnsi="仿宋" w:eastAsia="仿宋" w:cs="仿宋"/>
          <w:color w:val="auto"/>
          <w:sz w:val="32"/>
          <w:szCs w:val="32"/>
        </w:rPr>
      </w:pPr>
    </w:p>
    <w:p>
      <w:pPr>
        <w:rPr>
          <w:rFonts w:ascii="仿宋" w:hAnsi="仿宋" w:eastAsia="仿宋" w:cs="仿宋"/>
          <w:color w:val="auto"/>
          <w:sz w:val="32"/>
          <w:szCs w:val="32"/>
        </w:rPr>
      </w:pPr>
    </w:p>
    <w:p>
      <w:pPr>
        <w:pStyle w:val="2"/>
        <w:rPr>
          <w:rFonts w:ascii="仿宋" w:hAnsi="仿宋" w:eastAsia="仿宋" w:cs="仿宋"/>
          <w:color w:val="auto"/>
          <w:sz w:val="32"/>
          <w:szCs w:val="32"/>
        </w:rPr>
      </w:pPr>
    </w:p>
    <w:p>
      <w:pPr>
        <w:rPr>
          <w:rFonts w:ascii="仿宋" w:hAnsi="仿宋" w:eastAsia="仿宋" w:cs="仿宋"/>
          <w:color w:val="auto"/>
          <w:sz w:val="32"/>
          <w:szCs w:val="32"/>
        </w:rPr>
      </w:pPr>
    </w:p>
    <w:p>
      <w:pPr>
        <w:spacing w:line="560" w:lineRule="exact"/>
        <w:jc w:val="left"/>
        <w:outlineLvl w:val="0"/>
        <w:rPr>
          <w:rFonts w:ascii="黑体" w:hAnsi="黑体" w:eastAsia="黑体" w:cs="黑体"/>
          <w:color w:val="auto"/>
          <w:w w:val="95"/>
          <w:sz w:val="32"/>
          <w:szCs w:val="32"/>
        </w:rPr>
      </w:pPr>
    </w:p>
    <w:p>
      <w:pPr>
        <w:spacing w:line="560" w:lineRule="exact"/>
        <w:jc w:val="left"/>
        <w:outlineLvl w:val="0"/>
        <w:rPr>
          <w:rFonts w:ascii="黑体" w:hAnsi="黑体" w:eastAsia="黑体" w:cs="黑体"/>
          <w:color w:val="auto"/>
          <w:w w:val="95"/>
          <w:sz w:val="32"/>
          <w:szCs w:val="32"/>
        </w:rPr>
      </w:pPr>
      <w:r>
        <w:rPr>
          <w:rFonts w:hint="eastAsia" w:ascii="黑体" w:hAnsi="黑体" w:eastAsia="黑体" w:cs="黑体"/>
          <w:color w:val="auto"/>
          <w:w w:val="95"/>
          <w:sz w:val="32"/>
          <w:szCs w:val="32"/>
        </w:rPr>
        <w:t>附件12</w:t>
      </w:r>
    </w:p>
    <w:p>
      <w:pPr>
        <w:rPr>
          <w:color w:val="auto"/>
        </w:rPr>
      </w:pPr>
    </w:p>
    <w:p>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shd w:val="clear" w:color="auto" w:fill="FFFFFF"/>
        </w:rPr>
        <w:t>河北省普通本科3+4”试点学校名单</w:t>
      </w:r>
    </w:p>
    <w:p>
      <w:pPr>
        <w:rPr>
          <w:rFonts w:ascii="仿宋" w:hAnsi="仿宋" w:eastAsia="仿宋" w:cs="仿宋"/>
          <w:color w:val="auto"/>
          <w:sz w:val="32"/>
          <w:szCs w:val="32"/>
        </w:rPr>
      </w:pPr>
    </w:p>
    <w:p>
      <w:pPr>
        <w:ind w:firstLine="640"/>
        <w:rPr>
          <w:rFonts w:ascii="仿宋" w:hAnsi="仿宋" w:eastAsia="仿宋" w:cs="仿宋"/>
          <w:color w:val="auto"/>
          <w:sz w:val="32"/>
          <w:szCs w:val="32"/>
        </w:rPr>
      </w:pPr>
      <w:r>
        <w:rPr>
          <w:rFonts w:hint="eastAsia" w:ascii="仿宋" w:hAnsi="仿宋" w:eastAsia="仿宋" w:cs="仿宋"/>
          <w:color w:val="auto"/>
          <w:sz w:val="32"/>
          <w:szCs w:val="32"/>
        </w:rPr>
        <w:t>河北师范大学、河北工程大学、河北体育学院、河北农业</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大学</w:t>
      </w:r>
    </w:p>
    <w:p>
      <w:pPr>
        <w:pStyle w:val="2"/>
        <w:rPr>
          <w:rFonts w:ascii="仿宋" w:hAnsi="仿宋" w:eastAsia="仿宋" w:cs="仿宋"/>
          <w:color w:val="auto"/>
          <w:sz w:val="32"/>
          <w:szCs w:val="32"/>
        </w:rPr>
      </w:pPr>
    </w:p>
    <w:p>
      <w:pPr>
        <w:rPr>
          <w:color w:val="auto"/>
        </w:rPr>
      </w:pPr>
    </w:p>
    <w:p>
      <w:pPr>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sectPr>
          <w:footerReference r:id="rId3" w:type="default"/>
          <w:pgSz w:w="11906" w:h="16838"/>
          <w:pgMar w:top="2098" w:right="1587" w:bottom="1984" w:left="1587" w:header="851" w:footer="992" w:gutter="0"/>
          <w:cols w:space="720" w:num="1"/>
          <w:docGrid w:type="lines" w:linePitch="312" w:charSpace="0"/>
        </w:sectPr>
      </w:pPr>
    </w:p>
    <w:p>
      <w:pPr>
        <w:rPr>
          <w:rFonts w:ascii="黑体" w:hAnsi="黑体" w:eastAsia="黑体" w:cs="黑体"/>
          <w:color w:val="auto"/>
          <w:w w:val="95"/>
          <w:sz w:val="32"/>
          <w:szCs w:val="32"/>
        </w:rPr>
      </w:pPr>
      <w:r>
        <w:rPr>
          <w:rFonts w:hint="eastAsia" w:ascii="黑体" w:hAnsi="黑体" w:eastAsia="黑体" w:cs="黑体"/>
          <w:color w:val="auto"/>
          <w:w w:val="95"/>
          <w:sz w:val="32"/>
          <w:szCs w:val="32"/>
        </w:rPr>
        <w:t>附件13</w:t>
      </w:r>
    </w:p>
    <w:p>
      <w:pPr>
        <w:pStyle w:val="2"/>
        <w:jc w:val="center"/>
        <w:rPr>
          <w:rFonts w:ascii="仿宋" w:hAnsi="仿宋" w:eastAsia="仿宋" w:cs="仿宋"/>
          <w:color w:val="auto"/>
          <w:w w:val="95"/>
          <w:sz w:val="32"/>
          <w:szCs w:val="32"/>
        </w:rPr>
      </w:pPr>
      <w:r>
        <w:rPr>
          <w:rFonts w:hint="eastAsia" w:ascii="方正小标宋简体" w:hAnsi="方正小标宋简体" w:eastAsia="方正小标宋简体" w:cs="方正小标宋简体"/>
          <w:color w:val="auto"/>
          <w:w w:val="95"/>
          <w:sz w:val="36"/>
          <w:szCs w:val="36"/>
        </w:rPr>
        <w:t>中职与高校申报贯通培养专业汇总表</w:t>
      </w:r>
    </w:p>
    <w:p>
      <w:pPr>
        <w:jc w:val="left"/>
        <w:rPr>
          <w:color w:val="auto"/>
          <w:u w:val="single"/>
        </w:rPr>
      </w:pPr>
      <w:r>
        <w:rPr>
          <w:rFonts w:hint="eastAsia" w:ascii="仿宋" w:hAnsi="仿宋" w:eastAsia="仿宋" w:cs="仿宋"/>
          <w:color w:val="auto"/>
          <w:w w:val="95"/>
          <w:sz w:val="32"/>
          <w:szCs w:val="32"/>
        </w:rPr>
        <w:t>市（校）</w:t>
      </w:r>
      <w:r>
        <w:rPr>
          <w:rFonts w:hint="eastAsia" w:ascii="仿宋" w:hAnsi="仿宋" w:eastAsia="仿宋" w:cs="仿宋"/>
          <w:color w:val="auto"/>
          <w:w w:val="95"/>
          <w:sz w:val="32"/>
          <w:szCs w:val="32"/>
          <w:u w:val="single"/>
        </w:rPr>
        <w:t xml:space="preserve">                </w:t>
      </w:r>
      <w:r>
        <w:rPr>
          <w:rFonts w:hint="eastAsia" w:ascii="仿宋" w:hAnsi="仿宋" w:eastAsia="仿宋" w:cs="仿宋"/>
          <w:color w:val="auto"/>
          <w:w w:val="95"/>
          <w:sz w:val="32"/>
          <w:szCs w:val="32"/>
        </w:rPr>
        <w:t xml:space="preserve"> （盖章）                                   年   月   日</w:t>
      </w:r>
    </w:p>
    <w:tbl>
      <w:tblPr>
        <w:tblStyle w:val="6"/>
        <w:tblW w:w="12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450"/>
        <w:gridCol w:w="1450"/>
        <w:gridCol w:w="1483"/>
        <w:gridCol w:w="1500"/>
        <w:gridCol w:w="1450"/>
        <w:gridCol w:w="1450"/>
        <w:gridCol w:w="1383"/>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spacing w:line="440" w:lineRule="exact"/>
              <w:jc w:val="center"/>
              <w:rPr>
                <w:b/>
                <w:bCs/>
                <w:color w:val="auto"/>
                <w:sz w:val="28"/>
                <w:szCs w:val="28"/>
              </w:rPr>
            </w:pPr>
            <w:r>
              <w:rPr>
                <w:rFonts w:hint="eastAsia"/>
                <w:b/>
                <w:bCs/>
                <w:color w:val="auto"/>
                <w:sz w:val="28"/>
                <w:szCs w:val="28"/>
              </w:rPr>
              <w:t>序号</w:t>
            </w:r>
          </w:p>
        </w:tc>
        <w:tc>
          <w:tcPr>
            <w:tcW w:w="1450" w:type="dxa"/>
            <w:vAlign w:val="center"/>
          </w:tcPr>
          <w:p>
            <w:pPr>
              <w:spacing w:line="440" w:lineRule="exact"/>
              <w:jc w:val="center"/>
              <w:rPr>
                <w:b/>
                <w:bCs/>
                <w:color w:val="auto"/>
                <w:sz w:val="28"/>
                <w:szCs w:val="28"/>
              </w:rPr>
            </w:pPr>
            <w:r>
              <w:rPr>
                <w:rFonts w:hint="eastAsia"/>
                <w:b/>
                <w:bCs/>
                <w:color w:val="auto"/>
                <w:sz w:val="28"/>
                <w:szCs w:val="28"/>
              </w:rPr>
              <w:t>贯通培养</w:t>
            </w:r>
          </w:p>
          <w:p>
            <w:pPr>
              <w:spacing w:line="440" w:lineRule="exact"/>
              <w:jc w:val="center"/>
              <w:rPr>
                <w:b/>
                <w:bCs/>
                <w:color w:val="auto"/>
                <w:sz w:val="28"/>
                <w:szCs w:val="28"/>
              </w:rPr>
            </w:pPr>
            <w:r>
              <w:rPr>
                <w:rFonts w:hint="eastAsia"/>
                <w:b/>
                <w:bCs/>
                <w:color w:val="auto"/>
                <w:sz w:val="28"/>
                <w:szCs w:val="28"/>
              </w:rPr>
              <w:t>类型</w:t>
            </w:r>
          </w:p>
        </w:tc>
        <w:tc>
          <w:tcPr>
            <w:tcW w:w="1450" w:type="dxa"/>
            <w:vAlign w:val="center"/>
          </w:tcPr>
          <w:p>
            <w:pPr>
              <w:spacing w:line="440" w:lineRule="exact"/>
              <w:jc w:val="center"/>
              <w:rPr>
                <w:b/>
                <w:bCs/>
                <w:color w:val="auto"/>
                <w:sz w:val="28"/>
                <w:szCs w:val="28"/>
              </w:rPr>
            </w:pPr>
            <w:r>
              <w:rPr>
                <w:rFonts w:hint="eastAsia"/>
                <w:b/>
                <w:bCs/>
                <w:color w:val="auto"/>
                <w:sz w:val="28"/>
                <w:szCs w:val="28"/>
              </w:rPr>
              <w:t>中职名称</w:t>
            </w:r>
          </w:p>
        </w:tc>
        <w:tc>
          <w:tcPr>
            <w:tcW w:w="1483" w:type="dxa"/>
            <w:vAlign w:val="center"/>
          </w:tcPr>
          <w:p>
            <w:pPr>
              <w:spacing w:line="440" w:lineRule="exact"/>
              <w:jc w:val="center"/>
              <w:rPr>
                <w:b/>
                <w:bCs/>
                <w:color w:val="auto"/>
                <w:sz w:val="28"/>
                <w:szCs w:val="28"/>
              </w:rPr>
            </w:pPr>
            <w:r>
              <w:rPr>
                <w:rFonts w:hint="eastAsia"/>
                <w:b/>
                <w:bCs/>
                <w:color w:val="auto"/>
                <w:sz w:val="28"/>
                <w:szCs w:val="28"/>
              </w:rPr>
              <w:t>中职专业</w:t>
            </w:r>
          </w:p>
        </w:tc>
        <w:tc>
          <w:tcPr>
            <w:tcW w:w="1500" w:type="dxa"/>
            <w:vAlign w:val="center"/>
          </w:tcPr>
          <w:p>
            <w:pPr>
              <w:spacing w:line="440" w:lineRule="exact"/>
              <w:jc w:val="center"/>
              <w:rPr>
                <w:b/>
                <w:bCs/>
                <w:color w:val="auto"/>
                <w:sz w:val="28"/>
                <w:szCs w:val="28"/>
              </w:rPr>
            </w:pPr>
            <w:r>
              <w:rPr>
                <w:rFonts w:hint="eastAsia"/>
                <w:b/>
                <w:bCs/>
                <w:color w:val="auto"/>
                <w:sz w:val="28"/>
                <w:szCs w:val="28"/>
              </w:rPr>
              <w:t>中职专业代码</w:t>
            </w:r>
          </w:p>
        </w:tc>
        <w:tc>
          <w:tcPr>
            <w:tcW w:w="1450" w:type="dxa"/>
            <w:vAlign w:val="center"/>
          </w:tcPr>
          <w:p>
            <w:pPr>
              <w:spacing w:line="440" w:lineRule="exact"/>
              <w:jc w:val="center"/>
              <w:rPr>
                <w:b/>
                <w:bCs/>
                <w:color w:val="auto"/>
                <w:sz w:val="28"/>
                <w:szCs w:val="28"/>
              </w:rPr>
            </w:pPr>
            <w:r>
              <w:rPr>
                <w:rFonts w:hint="eastAsia"/>
                <w:b/>
                <w:bCs/>
                <w:color w:val="auto"/>
                <w:sz w:val="28"/>
                <w:szCs w:val="28"/>
              </w:rPr>
              <w:t>高校名称</w:t>
            </w:r>
          </w:p>
        </w:tc>
        <w:tc>
          <w:tcPr>
            <w:tcW w:w="1450" w:type="dxa"/>
            <w:vAlign w:val="center"/>
          </w:tcPr>
          <w:p>
            <w:pPr>
              <w:spacing w:line="440" w:lineRule="exact"/>
              <w:jc w:val="center"/>
              <w:rPr>
                <w:b/>
                <w:bCs/>
                <w:color w:val="auto"/>
                <w:sz w:val="28"/>
                <w:szCs w:val="28"/>
              </w:rPr>
            </w:pPr>
            <w:r>
              <w:rPr>
                <w:rFonts w:hint="eastAsia"/>
                <w:b/>
                <w:bCs/>
                <w:color w:val="auto"/>
                <w:sz w:val="28"/>
                <w:szCs w:val="28"/>
              </w:rPr>
              <w:t>高校专业</w:t>
            </w:r>
          </w:p>
        </w:tc>
        <w:tc>
          <w:tcPr>
            <w:tcW w:w="1383" w:type="dxa"/>
            <w:vAlign w:val="center"/>
          </w:tcPr>
          <w:p>
            <w:pPr>
              <w:spacing w:line="440" w:lineRule="exact"/>
              <w:jc w:val="center"/>
              <w:rPr>
                <w:b/>
                <w:bCs/>
                <w:color w:val="auto"/>
                <w:sz w:val="28"/>
                <w:szCs w:val="28"/>
              </w:rPr>
            </w:pPr>
            <w:r>
              <w:rPr>
                <w:rFonts w:hint="eastAsia"/>
                <w:b/>
                <w:bCs/>
                <w:color w:val="auto"/>
                <w:sz w:val="28"/>
                <w:szCs w:val="28"/>
              </w:rPr>
              <w:t>高校专业代码</w:t>
            </w:r>
          </w:p>
        </w:tc>
        <w:tc>
          <w:tcPr>
            <w:tcW w:w="1284" w:type="dxa"/>
            <w:vAlign w:val="center"/>
          </w:tcPr>
          <w:p>
            <w:pPr>
              <w:spacing w:line="440" w:lineRule="exact"/>
              <w:jc w:val="center"/>
              <w:rPr>
                <w:b/>
                <w:bCs/>
                <w:color w:val="auto"/>
                <w:sz w:val="28"/>
                <w:szCs w:val="28"/>
              </w:rPr>
            </w:pPr>
            <w:r>
              <w:rPr>
                <w:rFonts w:hint="eastAsia"/>
                <w:b/>
                <w:bCs/>
                <w:color w:val="auto"/>
                <w:sz w:val="28"/>
                <w:szCs w:val="28"/>
              </w:rPr>
              <w:t>拟招生人数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83" w:type="dxa"/>
            <w:vAlign w:val="center"/>
          </w:tcPr>
          <w:p>
            <w:pPr>
              <w:jc w:val="center"/>
              <w:rPr>
                <w:color w:val="auto"/>
                <w:sz w:val="28"/>
                <w:szCs w:val="28"/>
              </w:rPr>
            </w:pPr>
          </w:p>
        </w:tc>
        <w:tc>
          <w:tcPr>
            <w:tcW w:w="150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383" w:type="dxa"/>
            <w:vAlign w:val="center"/>
          </w:tcPr>
          <w:p>
            <w:pPr>
              <w:jc w:val="center"/>
              <w:rPr>
                <w:color w:val="auto"/>
                <w:sz w:val="28"/>
                <w:szCs w:val="28"/>
              </w:rPr>
            </w:pPr>
          </w:p>
        </w:tc>
        <w:tc>
          <w:tcPr>
            <w:tcW w:w="1284" w:type="dxa"/>
            <w:vAlign w:val="center"/>
          </w:tcPr>
          <w:p>
            <w:pPr>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83" w:type="dxa"/>
            <w:vAlign w:val="center"/>
          </w:tcPr>
          <w:p>
            <w:pPr>
              <w:jc w:val="center"/>
              <w:rPr>
                <w:color w:val="auto"/>
                <w:sz w:val="28"/>
                <w:szCs w:val="28"/>
              </w:rPr>
            </w:pPr>
          </w:p>
        </w:tc>
        <w:tc>
          <w:tcPr>
            <w:tcW w:w="150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383" w:type="dxa"/>
            <w:vAlign w:val="center"/>
          </w:tcPr>
          <w:p>
            <w:pPr>
              <w:jc w:val="center"/>
              <w:rPr>
                <w:color w:val="auto"/>
                <w:sz w:val="28"/>
                <w:szCs w:val="28"/>
              </w:rPr>
            </w:pPr>
          </w:p>
        </w:tc>
        <w:tc>
          <w:tcPr>
            <w:tcW w:w="1284" w:type="dxa"/>
            <w:vAlign w:val="center"/>
          </w:tcPr>
          <w:p>
            <w:pPr>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83" w:type="dxa"/>
            <w:vAlign w:val="center"/>
          </w:tcPr>
          <w:p>
            <w:pPr>
              <w:jc w:val="center"/>
              <w:rPr>
                <w:color w:val="auto"/>
                <w:sz w:val="28"/>
                <w:szCs w:val="28"/>
              </w:rPr>
            </w:pPr>
          </w:p>
        </w:tc>
        <w:tc>
          <w:tcPr>
            <w:tcW w:w="150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383" w:type="dxa"/>
            <w:vAlign w:val="center"/>
          </w:tcPr>
          <w:p>
            <w:pPr>
              <w:jc w:val="center"/>
              <w:rPr>
                <w:color w:val="auto"/>
                <w:sz w:val="28"/>
                <w:szCs w:val="28"/>
              </w:rPr>
            </w:pPr>
          </w:p>
        </w:tc>
        <w:tc>
          <w:tcPr>
            <w:tcW w:w="1284" w:type="dxa"/>
            <w:vAlign w:val="center"/>
          </w:tcPr>
          <w:p>
            <w:pPr>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83" w:type="dxa"/>
            <w:vAlign w:val="center"/>
          </w:tcPr>
          <w:p>
            <w:pPr>
              <w:jc w:val="center"/>
              <w:rPr>
                <w:color w:val="auto"/>
                <w:sz w:val="28"/>
                <w:szCs w:val="28"/>
              </w:rPr>
            </w:pPr>
          </w:p>
        </w:tc>
        <w:tc>
          <w:tcPr>
            <w:tcW w:w="150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383" w:type="dxa"/>
            <w:vAlign w:val="center"/>
          </w:tcPr>
          <w:p>
            <w:pPr>
              <w:jc w:val="center"/>
              <w:rPr>
                <w:color w:val="auto"/>
                <w:sz w:val="28"/>
                <w:szCs w:val="28"/>
              </w:rPr>
            </w:pPr>
          </w:p>
        </w:tc>
        <w:tc>
          <w:tcPr>
            <w:tcW w:w="1284" w:type="dxa"/>
            <w:vAlign w:val="center"/>
          </w:tcPr>
          <w:p>
            <w:pPr>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83" w:type="dxa"/>
            <w:vAlign w:val="center"/>
          </w:tcPr>
          <w:p>
            <w:pPr>
              <w:jc w:val="center"/>
              <w:rPr>
                <w:color w:val="auto"/>
                <w:sz w:val="28"/>
                <w:szCs w:val="28"/>
              </w:rPr>
            </w:pPr>
          </w:p>
        </w:tc>
        <w:tc>
          <w:tcPr>
            <w:tcW w:w="150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450" w:type="dxa"/>
            <w:vAlign w:val="center"/>
          </w:tcPr>
          <w:p>
            <w:pPr>
              <w:jc w:val="center"/>
              <w:rPr>
                <w:color w:val="auto"/>
                <w:sz w:val="28"/>
                <w:szCs w:val="28"/>
              </w:rPr>
            </w:pPr>
          </w:p>
        </w:tc>
        <w:tc>
          <w:tcPr>
            <w:tcW w:w="1383" w:type="dxa"/>
            <w:vAlign w:val="center"/>
          </w:tcPr>
          <w:p>
            <w:pPr>
              <w:jc w:val="center"/>
              <w:rPr>
                <w:color w:val="auto"/>
                <w:sz w:val="28"/>
                <w:szCs w:val="28"/>
              </w:rPr>
            </w:pPr>
          </w:p>
        </w:tc>
        <w:tc>
          <w:tcPr>
            <w:tcW w:w="1284" w:type="dxa"/>
            <w:vAlign w:val="center"/>
          </w:tcPr>
          <w:p>
            <w:pPr>
              <w:jc w:val="center"/>
              <w:rPr>
                <w:color w:val="auto"/>
                <w:sz w:val="28"/>
                <w:szCs w:val="28"/>
              </w:rPr>
            </w:pPr>
          </w:p>
        </w:tc>
      </w:tr>
    </w:tbl>
    <w:p>
      <w:pPr>
        <w:jc w:val="left"/>
        <w:rPr>
          <w:rFonts w:hint="eastAsia" w:ascii="仿宋" w:hAnsi="仿宋" w:eastAsia="仿宋" w:cs="仿宋"/>
          <w:color w:val="auto"/>
          <w:w w:val="95"/>
          <w:sz w:val="32"/>
          <w:szCs w:val="32"/>
        </w:rPr>
        <w:sectPr>
          <w:pgSz w:w="16838" w:h="11906" w:orient="landscape"/>
          <w:pgMar w:top="1587" w:right="2098" w:bottom="1587" w:left="1984" w:header="851" w:footer="992" w:gutter="0"/>
          <w:cols w:space="720" w:num="1"/>
          <w:docGrid w:type="lines" w:linePitch="312" w:charSpace="0"/>
        </w:sectPr>
      </w:pPr>
      <w:r>
        <w:rPr>
          <w:rFonts w:hint="eastAsia" w:ascii="仿宋" w:hAnsi="仿宋" w:eastAsia="仿宋" w:cs="仿宋"/>
          <w:color w:val="auto"/>
          <w:w w:val="95"/>
          <w:sz w:val="32"/>
          <w:szCs w:val="32"/>
          <w:lang w:eastAsia="zh-CN"/>
        </w:rPr>
        <w:t>联系人：</w:t>
      </w:r>
      <w:r>
        <w:rPr>
          <w:rFonts w:hint="eastAsia" w:ascii="仿宋" w:hAnsi="仿宋" w:eastAsia="仿宋" w:cs="仿宋"/>
          <w:color w:val="auto"/>
          <w:w w:val="95"/>
          <w:sz w:val="32"/>
          <w:szCs w:val="32"/>
          <w:lang w:val="en-US" w:eastAsia="zh-CN"/>
        </w:rPr>
        <w:t xml:space="preserve">                                     联系电话：</w:t>
      </w:r>
    </w:p>
    <w:p>
      <w:pPr>
        <w:rPr>
          <w:color w:val="auto"/>
        </w:rPr>
      </w:pPr>
    </w:p>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24"/>
        <w:lang w:val="en-US" w:eastAsia="zh-CN" w:bidi="ar-SA"/>
      </w:rPr>
      <w:pict>
        <v:rect id="文本框 1025"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58D54"/>
    <w:multiLevelType w:val="singleLevel"/>
    <w:tmpl w:val="64058D54"/>
    <w:lvl w:ilvl="0" w:tentative="0">
      <w:start w:val="4"/>
      <w:numFmt w:val="decimal"/>
      <w:suff w:val="nothing"/>
      <w:lvlText w:val="%1."/>
      <w:lvlJc w:val="left"/>
    </w:lvl>
  </w:abstractNum>
  <w:abstractNum w:abstractNumId="1">
    <w:nsid w:val="6409C140"/>
    <w:multiLevelType w:val="singleLevel"/>
    <w:tmpl w:val="6409C140"/>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2E5ODdiMGRkZDAwMWMzZTk2N2RmNTg4NTFjNWJhOWYifQ=="/>
  </w:docVars>
  <w:rsids>
    <w:rsidRoot w:val="00000000"/>
    <w:rsid w:val="0F9B0EE8"/>
    <w:rsid w:val="124A452F"/>
    <w:rsid w:val="18C25F8D"/>
    <w:rsid w:val="2288350D"/>
    <w:rsid w:val="22BA5BB9"/>
    <w:rsid w:val="252A68FA"/>
    <w:rsid w:val="26942DF5"/>
    <w:rsid w:val="2BC750C8"/>
    <w:rsid w:val="368C12DF"/>
    <w:rsid w:val="3AB445EF"/>
    <w:rsid w:val="3C5B34F3"/>
    <w:rsid w:val="3F141D55"/>
    <w:rsid w:val="43BB30E7"/>
    <w:rsid w:val="4FBF7ABB"/>
    <w:rsid w:val="503F169A"/>
    <w:rsid w:val="6EC24A7A"/>
    <w:rsid w:val="71902FED"/>
    <w:rsid w:val="7C5B0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libri Light" w:hAnsi="Calibri Light" w:cs="黑体"/>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qFormat/>
    <w:uiPriority w:val="0"/>
    <w:pPr>
      <w:widowControl w:val="0"/>
      <w:spacing w:before="100" w:beforeAutospacing="1" w:after="100" w:afterAutospacing="1" w:line="240" w:lineRule="auto"/>
      <w:jc w:val="left"/>
    </w:pPr>
    <w:rPr>
      <w:rFonts w:ascii="Courier New" w:hAnsi="Courier New" w:eastAsia="宋体" w:cs="Times New Roman"/>
      <w:kern w:val="2"/>
      <w:sz w:val="20"/>
      <w:szCs w:val="21"/>
      <w:lang w:val="en-US" w:eastAsia="zh-CN" w:bidi="ar-SA"/>
    </w:rPr>
  </w:style>
  <w:style w:type="paragraph" w:styleId="5">
    <w:name w:val="Title"/>
    <w:basedOn w:val="1"/>
    <w:next w:val="1"/>
    <w:qFormat/>
    <w:uiPriority w:val="0"/>
    <w:pPr>
      <w:spacing w:before="240" w:after="60"/>
      <w:jc w:val="center"/>
      <w:outlineLvl w:val="0"/>
    </w:pPr>
    <w:rPr>
      <w:rFonts w:ascii="Calibri Light" w:hAnsi="Calibri Light" w:eastAsia="宋体" w:cs="黑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9557</Words>
  <Characters>10393</Characters>
  <Lines>0</Lines>
  <Paragraphs>0</Paragraphs>
  <TotalTime>5</TotalTime>
  <ScaleCrop>false</ScaleCrop>
  <LinksUpToDate>false</LinksUpToDate>
  <CharactersWithSpaces>11420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2023-03-09T11:08:00Z</dcterms:created>
  <dc:creator>刘晶</dc:creator>
  <cp:lastModifiedBy>WPS_1533274902</cp:lastModifiedBy>
  <cp:lastPrinted>2023-03-13T03:37:00Z</cp:lastPrinted>
  <dcterms:modified xsi:type="dcterms:W3CDTF">2023-03-14T03:21:19Z</dcterms:modified>
  <dc:title>冀教职成〔2023〕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0B45D109B42B4BCEAC007219E0EB5C23</vt:lpwstr>
  </property>
</Properties>
</file>