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auto"/>
          <w:kern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办通字〔202</w:t>
      </w:r>
      <w:r>
        <w:rPr>
          <w:rFonts w:hint="eastAsia" w:ascii="仿宋_GB2312" w:hAnsi="仿宋_GB2312" w:eastAsia="仿宋_GB2312" w:cs="仿宋_GB2312"/>
          <w:bCs/>
          <w:color w:val="auto"/>
          <w:kern w:val="0"/>
          <w:sz w:val="32"/>
          <w:szCs w:val="32"/>
          <w:lang w:val="en-US" w:eastAsia="zh-CN"/>
        </w:rPr>
        <w:t>3</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val="en-US" w:eastAsia="zh-CN"/>
        </w:rPr>
        <w:t>15</w:t>
      </w:r>
      <w:r>
        <w:rPr>
          <w:rFonts w:hint="eastAsia" w:ascii="仿宋_GB2312" w:hAnsi="仿宋_GB2312" w:eastAsia="仿宋_GB2312" w:cs="仿宋_GB2312"/>
          <w:bCs/>
          <w:color w:val="auto"/>
          <w:kern w:val="0"/>
          <w:sz w:val="32"/>
          <w:szCs w:val="32"/>
        </w:rPr>
        <w:t>号</w:t>
      </w: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color w:val="auto"/>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outlineLvl w:val="0"/>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eastAsia="zh-CN"/>
        </w:rPr>
        <w:t>承德应用技术职业学院</w:t>
      </w:r>
      <w:r>
        <w:rPr>
          <w:rFonts w:hint="eastAsia" w:ascii="方正小标宋简体" w:hAnsi="方正小标宋简体" w:eastAsia="方正小标宋简体" w:cs="方正小标宋简体"/>
          <w:b w:val="0"/>
          <w:bCs w:val="0"/>
          <w:color w:val="auto"/>
          <w:sz w:val="44"/>
          <w:szCs w:val="44"/>
          <w:lang w:val="en-US" w:eastAsia="zh-CN"/>
        </w:rPr>
        <w:t>党政办公室</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hAnsiTheme="majorEastAsia"/>
          <w:sz w:val="44"/>
          <w:szCs w:val="44"/>
        </w:rPr>
      </w:pPr>
      <w:r>
        <w:rPr>
          <w:rFonts w:hint="eastAsia" w:ascii="方正小标宋简体" w:hAnsi="方正小标宋简体" w:eastAsia="方正小标宋简体" w:cs="方正小标宋简体"/>
          <w:b w:val="0"/>
          <w:bCs w:val="0"/>
          <w:color w:val="auto"/>
          <w:sz w:val="44"/>
          <w:szCs w:val="44"/>
        </w:rPr>
        <w:t>关于</w:t>
      </w:r>
      <w:r>
        <w:rPr>
          <w:rFonts w:hint="eastAsia" w:ascii="方正小标宋简体" w:hAnsi="方正小标宋简体" w:eastAsia="方正小标宋简体" w:cs="方正小标宋简体"/>
          <w:b w:val="0"/>
          <w:bCs w:val="0"/>
          <w:color w:val="auto"/>
          <w:sz w:val="44"/>
          <w:szCs w:val="44"/>
          <w:lang w:val="en-US" w:eastAsia="zh-CN"/>
        </w:rPr>
        <w:t>印发《</w:t>
      </w:r>
      <w:r>
        <w:rPr>
          <w:rFonts w:hint="eastAsia" w:ascii="方正小标宋简体" w:eastAsia="方正小标宋简体" w:hAnsiTheme="majorEastAsia"/>
          <w:color w:val="auto"/>
          <w:sz w:val="44"/>
          <w:szCs w:val="44"/>
        </w:rPr>
        <w:t>承德应用技术职业学院</w:t>
      </w:r>
      <w:r>
        <w:rPr>
          <w:rFonts w:hint="eastAsia" w:ascii="方正小标宋简体" w:eastAsia="方正小标宋简体" w:hAnsiTheme="majorEastAsia"/>
          <w:sz w:val="44"/>
          <w:szCs w:val="44"/>
        </w:rPr>
        <w:t>关于全面</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b w:val="0"/>
          <w:bCs w:val="0"/>
          <w:color w:val="auto"/>
          <w:sz w:val="44"/>
          <w:szCs w:val="44"/>
          <w:lang w:val="en-US" w:eastAsia="zh-CN"/>
        </w:rPr>
      </w:pPr>
      <w:r>
        <w:rPr>
          <w:rFonts w:hint="eastAsia" w:ascii="方正小标宋简体" w:eastAsia="方正小标宋简体" w:hAnsiTheme="majorEastAsia"/>
          <w:sz w:val="44"/>
          <w:szCs w:val="44"/>
        </w:rPr>
        <w:t>加强思政课建设的实施方案</w:t>
      </w:r>
      <w:r>
        <w:rPr>
          <w:rFonts w:hint="eastAsia" w:ascii="方正小标宋简体" w:hAnsi="方正小标宋简体" w:eastAsia="方正小标宋简体" w:cs="方正小标宋简体"/>
          <w:b w:val="0"/>
          <w:bCs w:val="0"/>
          <w:color w:val="auto"/>
          <w:sz w:val="44"/>
          <w:szCs w:val="44"/>
          <w:lang w:val="en-US" w:eastAsia="zh-CN"/>
        </w:rPr>
        <w:t>》的通知</w:t>
      </w:r>
    </w:p>
    <w:p>
      <w:pPr>
        <w:keepNext w:val="0"/>
        <w:keepLines w:val="0"/>
        <w:pageBreakBefore w:val="0"/>
        <w:widowControl w:val="0"/>
        <w:kinsoku/>
        <w:wordWrap/>
        <w:overflowPunct/>
        <w:topLinePunct w:val="0"/>
        <w:autoSpaceDE/>
        <w:autoSpaceDN/>
        <w:bidi w:val="0"/>
        <w:adjustRightInd/>
        <w:spacing w:line="560" w:lineRule="exact"/>
        <w:textAlignment w:val="auto"/>
        <w:rPr>
          <w:rFonts w:ascii="宋体" w:hAnsi="宋体" w:cs="宋体"/>
          <w:bCs/>
          <w:color w:val="auto"/>
          <w:kern w:val="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outlineLvl w:val="0"/>
        <w:rPr>
          <w:rFonts w:hint="eastAsia" w:ascii="仿宋_GB2312" w:hAnsi="仿宋_GB2312" w:eastAsia="仿宋_GB2312" w:cs="仿宋_GB2312"/>
          <w:bCs/>
          <w:color w:val="auto"/>
          <w:w w:val="105"/>
          <w:sz w:val="32"/>
          <w:szCs w:val="32"/>
        </w:rPr>
      </w:pPr>
      <w:r>
        <w:rPr>
          <w:rFonts w:hint="eastAsia" w:ascii="仿宋_GB2312" w:hAnsi="仿宋_GB2312" w:eastAsia="仿宋_GB2312" w:cs="仿宋_GB2312"/>
          <w:bCs/>
          <w:color w:val="auto"/>
          <w:w w:val="105"/>
          <w:sz w:val="32"/>
          <w:szCs w:val="32"/>
        </w:rPr>
        <w:t>各单位：</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bCs/>
          <w:color w:val="auto"/>
          <w:w w:val="105"/>
          <w:sz w:val="32"/>
          <w:szCs w:val="32"/>
        </w:rPr>
      </w:pPr>
      <w:r>
        <w:rPr>
          <w:rFonts w:hint="eastAsia" w:ascii="仿宋_GB2312" w:hAnsi="仿宋_GB2312" w:eastAsia="仿宋_GB2312" w:cs="仿宋_GB2312"/>
          <w:bCs/>
          <w:color w:val="auto"/>
          <w:w w:val="105"/>
          <w:sz w:val="32"/>
          <w:szCs w:val="32"/>
          <w:lang w:val="en-US" w:eastAsia="zh-CN"/>
        </w:rPr>
        <w:t>《承德应用技术职业学院关于全面加强思政课建设的实施方案》经第63次党委会审议通过，现</w:t>
      </w:r>
      <w:r>
        <w:rPr>
          <w:rFonts w:hint="eastAsia" w:ascii="仿宋_GB2312" w:hAnsi="仿宋_GB2312" w:eastAsia="仿宋_GB2312" w:cs="仿宋_GB2312"/>
          <w:bCs/>
          <w:color w:val="auto"/>
          <w:w w:val="105"/>
          <w:sz w:val="32"/>
          <w:szCs w:val="32"/>
        </w:rPr>
        <w:t>印发给你们，请遵照执行。</w:t>
      </w:r>
    </w:p>
    <w:p>
      <w:pPr>
        <w:pStyle w:val="2"/>
        <w:rPr>
          <w:rFonts w:hint="eastAsia" w:ascii="仿宋_GB2312" w:hAnsi="仿宋_GB2312" w:eastAsia="仿宋_GB2312" w:cs="仿宋_GB2312"/>
          <w:bCs/>
          <w:color w:val="auto"/>
          <w:w w:val="105"/>
          <w:sz w:val="32"/>
          <w:szCs w:val="32"/>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jc w:val="right"/>
        <w:textAlignment w:val="auto"/>
        <w:rPr>
          <w:rFonts w:hint="eastAsia" w:ascii="仿宋_GB2312" w:hAnsi="仿宋_GB2312" w:eastAsia="仿宋_GB2312" w:cs="仿宋_GB2312"/>
          <w:bCs/>
          <w:color w:val="auto"/>
          <w:w w:val="105"/>
          <w:sz w:val="32"/>
          <w:szCs w:val="32"/>
          <w:lang w:val="en-US" w:eastAsia="zh-CN"/>
        </w:rPr>
      </w:pPr>
      <w:r>
        <w:rPr>
          <w:rFonts w:hint="eastAsia" w:ascii="仿宋_GB2312" w:hAnsi="仿宋_GB2312" w:eastAsia="仿宋_GB2312" w:cs="仿宋_GB2312"/>
          <w:bCs/>
          <w:color w:val="auto"/>
          <w:w w:val="105"/>
          <w:sz w:val="32"/>
          <w:szCs w:val="32"/>
          <w:lang w:val="en-US" w:eastAsia="zh-CN"/>
        </w:rPr>
        <w:t>承德应用技术职业学院党政办公室</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jc w:val="center"/>
        <w:textAlignment w:val="auto"/>
        <w:rPr>
          <w:rFonts w:hint="default" w:ascii="仿宋_GB2312" w:hAnsi="仿宋_GB2312" w:eastAsia="仿宋_GB2312" w:cs="仿宋_GB2312"/>
          <w:bCs/>
          <w:color w:val="auto"/>
          <w:w w:val="105"/>
          <w:sz w:val="32"/>
          <w:szCs w:val="32"/>
          <w:lang w:val="en-US" w:eastAsia="zh-CN"/>
        </w:rPr>
        <w:sectPr>
          <w:headerReference r:id="rId5" w:type="first"/>
          <w:footerReference r:id="rId8" w:type="first"/>
          <w:headerReference r:id="rId3" w:type="default"/>
          <w:footerReference r:id="rId6" w:type="default"/>
          <w:headerReference r:id="rId4" w:type="even"/>
          <w:footerReference r:id="rId7" w:type="even"/>
          <w:pgSz w:w="11906" w:h="16838"/>
          <w:pgMar w:top="2041" w:right="1474" w:bottom="1984" w:left="1588" w:header="851" w:footer="992" w:gutter="0"/>
          <w:pgNumType w:fmt="decimal" w:start="1"/>
          <w:cols w:space="720" w:num="1"/>
          <w:docGrid w:type="lines" w:linePitch="312" w:charSpace="0"/>
        </w:sectPr>
      </w:pPr>
      <w:r>
        <w:rPr>
          <w:rFonts w:hint="eastAsia" w:ascii="仿宋_GB2312" w:hAnsi="仿宋_GB2312" w:eastAsia="仿宋_GB2312" w:cs="仿宋_GB2312"/>
          <w:bCs/>
          <w:color w:val="auto"/>
          <w:w w:val="105"/>
          <w:sz w:val="32"/>
          <w:szCs w:val="32"/>
          <w:lang w:val="en-US" w:eastAsia="zh-CN"/>
        </w:rPr>
        <w:t xml:space="preserve">                    2023年3月</w:t>
      </w:r>
      <w:bookmarkStart w:id="0" w:name="_Toc365134279"/>
      <w:r>
        <w:rPr>
          <w:rFonts w:hint="eastAsia" w:ascii="仿宋_GB2312" w:hAnsi="仿宋_GB2312" w:eastAsia="仿宋_GB2312" w:cs="仿宋_GB2312"/>
          <w:bCs/>
          <w:color w:val="auto"/>
          <w:w w:val="105"/>
          <w:sz w:val="32"/>
          <w:szCs w:val="32"/>
          <w:lang w:val="en-US" w:eastAsia="zh-CN"/>
        </w:rPr>
        <w:t>30日</w:t>
      </w:r>
    </w:p>
    <w:bookmarkEnd w:id="0"/>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hAnsiTheme="majorEastAsia"/>
          <w:color w:val="auto"/>
          <w:sz w:val="44"/>
          <w:szCs w:val="44"/>
        </w:rPr>
      </w:pPr>
      <w:r>
        <w:rPr>
          <w:rFonts w:hint="eastAsia" w:ascii="方正小标宋简体" w:eastAsia="方正小标宋简体" w:hAnsiTheme="majorEastAsia"/>
          <w:color w:val="auto"/>
          <w:sz w:val="44"/>
          <w:szCs w:val="44"/>
        </w:rPr>
        <w:t>承德应用技术职业学院</w:t>
      </w: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方正小标宋简体" w:eastAsia="方正小标宋简体" w:hAnsiTheme="majorEastAsia"/>
          <w:sz w:val="44"/>
          <w:szCs w:val="44"/>
        </w:rPr>
      </w:pPr>
      <w:r>
        <w:rPr>
          <w:rFonts w:hint="eastAsia" w:ascii="方正小标宋简体" w:eastAsia="方正小标宋简体" w:hAnsiTheme="majorEastAsia"/>
          <w:sz w:val="44"/>
          <w:szCs w:val="44"/>
        </w:rPr>
        <w:t>关于全面加强思政课建设的实施方案</w:t>
      </w: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方正小标宋简体" w:eastAsia="方正小标宋简体" w:hAnsiTheme="majorEastAsia"/>
          <w:sz w:val="44"/>
          <w:szCs w:val="44"/>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思政课是落实立德树人根本任务的关键课程。为进一步贯彻落实习近平总书记在党的二十大报告中关于教育、科技、人才的重要论述，特别是在学校思想政治理论课教师座谈会上的重要讲话精神，全面贯彻党的教育方针，解决好培养什么人、怎样培养人、为谁培养人这个根本问题，坚持不懈用习近平新时代中国特色社会主义思想铸魂育人，全面加强学院思政课建设，根据中共中央办公厅、国务院办公厅《关于深化新时代高校思政课改革创新的若干意见》、中共中央办公厅《关于加强新时代马克思主义学院建设的意见》、教育部等十部门《全面推进“大思政课”建设的工作方案》、教育部《高等学校思想政治理论课建设标准（2021年本）》、教育部《新时代高等学校思想政治理论课教师队伍建设规定》等文件精神，结合我院实际，制定本实施方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一、指导思想</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全面贯彻党的教育方针，坚持马克思主义指导地位，贯彻落实习近平新时代中国特色社会主义思想，坚持社会主义办学方向，聚焦立德树人根本任务，推动用党的创新理论铸魂育人，不断增强思政课的针对性、有效性，提高思政课的质量和水平，努力培养担当民族复兴大任的时代新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二、基本原则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（一）坚持党对思政课建设的全面领导，把加强和改进思政课建设摆在突出位置。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（二）坚持思政课建设与党的创新理论武装同步推进，全面推动习近平新时代中国特色社会主义思想进教材进课堂进学生头脑，把社会主义核心价值观贯穿教育全过程。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（三）坚持守正和创新相统一，落实新时代思政课改革创新要求，不断增强思政课的思想性、理论性、针对性和亲和力，全面提升学生思想政治理论素养。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（四）坚持思政课在课程体系中的政治引领和价值引领作用，推动各类课程与思政课建设同向同行。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（五）坚持开门办思政课，充分调动全社会力量和资源用于学校思政课、课程思政和日常思政教育活动，形成“大思政课”格局。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（六）坚持培养高素质专业化思政课教师队伍，积极为教师队伍成长发展搭建平台、创造条件。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三、主要任务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楷体" w:hAnsi="楷体" w:eastAsia="楷体"/>
          <w:sz w:val="32"/>
          <w:szCs w:val="32"/>
        </w:rPr>
      </w:pPr>
      <w:r>
        <w:rPr>
          <w:rFonts w:hint="eastAsia" w:ascii="楷体" w:hAnsi="楷体" w:eastAsia="楷体"/>
          <w:sz w:val="32"/>
          <w:szCs w:val="32"/>
        </w:rPr>
        <w:t>（一）全面提高主渠道教学质量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 w:eastAsia="仿宋_GB2312"/>
          <w:sz w:val="32"/>
          <w:szCs w:val="32"/>
        </w:rPr>
        <w:t>加强以习近平新时代中国特色社会主义思想为核心内容的课程群建设。开足开齐思政课，形成必修课为主线、选修课为补充、有序衔接的课程体系。重点围绕习近平中国特色社会主义思想以及党史、国史、改革开放史、社会主义发展史、中华民族发展史、宪法法律、中华优秀传统文化等设定课程模块，开设系列选择性必修课。通过过程性考核、期末考试、撰写实践报告、论文等方式，完善学生思政课学习评价。具体课程设置如下表:</w:t>
      </w:r>
    </w:p>
    <w:tbl>
      <w:tblPr>
        <w:tblStyle w:val="6"/>
        <w:tblW w:w="0" w:type="auto"/>
        <w:jc w:val="center"/>
        <w:tblLayout w:type="autofit"/>
        <w:tblCellMar>
          <w:top w:w="0" w:type="dxa"/>
          <w:left w:w="0" w:type="dxa"/>
          <w:bottom w:w="0" w:type="dxa"/>
          <w:right w:w="0" w:type="dxa"/>
        </w:tblCellMar>
      </w:tblPr>
      <w:tblGrid>
        <w:gridCol w:w="2967"/>
        <w:gridCol w:w="1134"/>
        <w:gridCol w:w="1134"/>
        <w:gridCol w:w="1521"/>
        <w:gridCol w:w="1530"/>
      </w:tblGrid>
      <w:tr>
        <w:tblPrEx>
          <w:tblCellMar>
            <w:top w:w="0" w:type="dxa"/>
            <w:left w:w="0" w:type="dxa"/>
            <w:bottom w:w="0" w:type="dxa"/>
            <w:right w:w="0" w:type="dxa"/>
          </w:tblCellMar>
        </w:tblPrEx>
        <w:trPr>
          <w:trHeight w:val="935" w:hRule="atLeast"/>
          <w:jc w:val="center"/>
        </w:trPr>
        <w:tc>
          <w:tcPr>
            <w:tcW w:w="2967"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 w:eastAsia="仿宋_GB2312"/>
                <w:sz w:val="32"/>
                <w:szCs w:val="32"/>
              </w:rPr>
            </w:pPr>
            <w:r>
              <w:rPr>
                <w:rFonts w:hint="eastAsia" w:ascii="仿宋_GB2312" w:hAnsi="仿宋" w:eastAsia="仿宋_GB2312"/>
                <w:sz w:val="32"/>
                <w:szCs w:val="32"/>
              </w:rPr>
              <w:t>开设课程</w:t>
            </w:r>
          </w:p>
        </w:tc>
        <w:tc>
          <w:tcPr>
            <w:tcW w:w="113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28"/>
                <w:szCs w:val="32"/>
              </w:rPr>
              <w:t>总学分</w:t>
            </w:r>
          </w:p>
        </w:tc>
        <w:tc>
          <w:tcPr>
            <w:tcW w:w="113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28"/>
                <w:szCs w:val="32"/>
              </w:rPr>
              <w:t>总学时</w:t>
            </w:r>
          </w:p>
        </w:tc>
        <w:tc>
          <w:tcPr>
            <w:tcW w:w="1521"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28"/>
                <w:szCs w:val="32"/>
              </w:rPr>
              <w:t>开设学期</w:t>
            </w:r>
          </w:p>
        </w:tc>
        <w:tc>
          <w:tcPr>
            <w:tcW w:w="153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28"/>
                <w:szCs w:val="32"/>
              </w:rPr>
            </w:pPr>
            <w:r>
              <w:rPr>
                <w:rFonts w:hint="eastAsia" w:ascii="仿宋_GB2312" w:hAnsi="仿宋" w:eastAsia="仿宋_GB2312"/>
                <w:sz w:val="28"/>
                <w:szCs w:val="32"/>
              </w:rPr>
              <w:t>必修/选修</w:t>
            </w:r>
          </w:p>
        </w:tc>
      </w:tr>
      <w:tr>
        <w:tblPrEx>
          <w:tblCellMar>
            <w:top w:w="0" w:type="dxa"/>
            <w:left w:w="0" w:type="dxa"/>
            <w:bottom w:w="0" w:type="dxa"/>
            <w:right w:w="0" w:type="dxa"/>
          </w:tblCellMar>
        </w:tblPrEx>
        <w:trPr>
          <w:trHeight w:val="935" w:hRule="atLeast"/>
          <w:jc w:val="center"/>
        </w:trPr>
        <w:tc>
          <w:tcPr>
            <w:tcW w:w="2967"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《思想道德与法治》</w:t>
            </w:r>
          </w:p>
        </w:tc>
        <w:tc>
          <w:tcPr>
            <w:tcW w:w="1134"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 w:eastAsia="仿宋_GB2312"/>
                <w:sz w:val="32"/>
                <w:szCs w:val="32"/>
              </w:rPr>
            </w:pPr>
            <w:r>
              <w:rPr>
                <w:rFonts w:hint="eastAsia" w:ascii="仿宋_GB2312" w:hAnsi="仿宋" w:eastAsia="仿宋_GB2312"/>
                <w:sz w:val="32"/>
                <w:szCs w:val="32"/>
              </w:rPr>
              <w:t>3</w:t>
            </w:r>
          </w:p>
        </w:tc>
        <w:tc>
          <w:tcPr>
            <w:tcW w:w="1134"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 w:eastAsia="仿宋_GB2312"/>
                <w:sz w:val="32"/>
                <w:szCs w:val="32"/>
              </w:rPr>
            </w:pPr>
            <w:r>
              <w:rPr>
                <w:rFonts w:hint="eastAsia" w:ascii="仿宋_GB2312" w:hAnsi="仿宋" w:eastAsia="仿宋_GB2312"/>
                <w:sz w:val="32"/>
                <w:szCs w:val="32"/>
              </w:rPr>
              <w:t>48</w:t>
            </w:r>
          </w:p>
        </w:tc>
        <w:tc>
          <w:tcPr>
            <w:tcW w:w="1521"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 w:eastAsia="仿宋_GB2312"/>
                <w:sz w:val="32"/>
                <w:szCs w:val="32"/>
              </w:rPr>
            </w:pPr>
            <w:r>
              <w:rPr>
                <w:rFonts w:hint="eastAsia" w:ascii="仿宋_GB2312" w:hAnsi="仿宋" w:eastAsia="仿宋_GB2312"/>
                <w:sz w:val="32"/>
                <w:szCs w:val="32"/>
              </w:rPr>
              <w:t>1-2</w:t>
            </w:r>
          </w:p>
        </w:tc>
        <w:tc>
          <w:tcPr>
            <w:tcW w:w="1530"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 w:eastAsia="仿宋_GB2312"/>
                <w:sz w:val="32"/>
                <w:szCs w:val="32"/>
              </w:rPr>
            </w:pPr>
            <w:r>
              <w:rPr>
                <w:rFonts w:hint="eastAsia" w:ascii="仿宋_GB2312" w:hAnsi="仿宋" w:eastAsia="仿宋_GB2312"/>
                <w:sz w:val="32"/>
                <w:szCs w:val="32"/>
              </w:rPr>
              <w:t>必修</w:t>
            </w:r>
          </w:p>
        </w:tc>
      </w:tr>
      <w:tr>
        <w:tblPrEx>
          <w:tblCellMar>
            <w:top w:w="0" w:type="dxa"/>
            <w:left w:w="0" w:type="dxa"/>
            <w:bottom w:w="0" w:type="dxa"/>
            <w:right w:w="0" w:type="dxa"/>
          </w:tblCellMar>
        </w:tblPrEx>
        <w:trPr>
          <w:trHeight w:val="935" w:hRule="atLeast"/>
          <w:jc w:val="center"/>
        </w:trPr>
        <w:tc>
          <w:tcPr>
            <w:tcW w:w="2967"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《毛泽东思想和中国特色社会主义理论体系概论》</w:t>
            </w:r>
          </w:p>
        </w:tc>
        <w:tc>
          <w:tcPr>
            <w:tcW w:w="1134"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 w:eastAsia="仿宋_GB2312"/>
                <w:sz w:val="32"/>
                <w:szCs w:val="32"/>
              </w:rPr>
            </w:pPr>
            <w:r>
              <w:rPr>
                <w:rFonts w:hint="eastAsia" w:ascii="仿宋_GB2312" w:hAnsi="仿宋" w:eastAsia="仿宋_GB2312"/>
                <w:sz w:val="32"/>
                <w:szCs w:val="32"/>
              </w:rPr>
              <w:t>2</w:t>
            </w:r>
          </w:p>
        </w:tc>
        <w:tc>
          <w:tcPr>
            <w:tcW w:w="1134"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 w:eastAsia="仿宋_GB2312"/>
                <w:sz w:val="32"/>
                <w:szCs w:val="32"/>
              </w:rPr>
            </w:pPr>
            <w:r>
              <w:rPr>
                <w:rFonts w:hint="eastAsia" w:ascii="仿宋_GB2312" w:hAnsi="仿宋" w:eastAsia="仿宋_GB2312"/>
                <w:sz w:val="32"/>
                <w:szCs w:val="32"/>
              </w:rPr>
              <w:t>32</w:t>
            </w:r>
          </w:p>
        </w:tc>
        <w:tc>
          <w:tcPr>
            <w:tcW w:w="1521"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 w:eastAsia="仿宋_GB2312"/>
                <w:sz w:val="32"/>
                <w:szCs w:val="32"/>
              </w:rPr>
            </w:pPr>
            <w:r>
              <w:rPr>
                <w:rFonts w:hint="eastAsia" w:ascii="仿宋_GB2312" w:hAnsi="仿宋" w:eastAsia="仿宋_GB2312"/>
                <w:sz w:val="32"/>
                <w:szCs w:val="32"/>
              </w:rPr>
              <w:t>3</w:t>
            </w:r>
          </w:p>
        </w:tc>
        <w:tc>
          <w:tcPr>
            <w:tcW w:w="1530"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 w:eastAsia="仿宋_GB2312"/>
                <w:sz w:val="32"/>
                <w:szCs w:val="32"/>
              </w:rPr>
            </w:pPr>
            <w:r>
              <w:rPr>
                <w:rFonts w:hint="eastAsia" w:ascii="仿宋_GB2312" w:hAnsi="仿宋" w:eastAsia="仿宋_GB2312"/>
                <w:sz w:val="32"/>
                <w:szCs w:val="32"/>
              </w:rPr>
              <w:t>必修</w:t>
            </w:r>
          </w:p>
        </w:tc>
      </w:tr>
      <w:tr>
        <w:tblPrEx>
          <w:tblCellMar>
            <w:top w:w="0" w:type="dxa"/>
            <w:left w:w="0" w:type="dxa"/>
            <w:bottom w:w="0" w:type="dxa"/>
            <w:right w:w="0" w:type="dxa"/>
          </w:tblCellMar>
        </w:tblPrEx>
        <w:trPr>
          <w:trHeight w:val="935" w:hRule="atLeast"/>
          <w:jc w:val="center"/>
        </w:trPr>
        <w:tc>
          <w:tcPr>
            <w:tcW w:w="2967"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《形势与政策》</w:t>
            </w:r>
          </w:p>
        </w:tc>
        <w:tc>
          <w:tcPr>
            <w:tcW w:w="1134"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 w:eastAsia="仿宋_GB2312"/>
                <w:sz w:val="32"/>
                <w:szCs w:val="32"/>
              </w:rPr>
            </w:pPr>
            <w:r>
              <w:rPr>
                <w:rFonts w:hint="eastAsia" w:ascii="仿宋_GB2312" w:hAnsi="仿宋" w:eastAsia="仿宋_GB2312"/>
                <w:sz w:val="32"/>
                <w:szCs w:val="32"/>
              </w:rPr>
              <w:t>3</w:t>
            </w:r>
          </w:p>
        </w:tc>
        <w:tc>
          <w:tcPr>
            <w:tcW w:w="1134"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 w:eastAsia="仿宋_GB2312"/>
                <w:sz w:val="32"/>
                <w:szCs w:val="32"/>
              </w:rPr>
            </w:pPr>
            <w:r>
              <w:rPr>
                <w:rFonts w:hint="eastAsia" w:ascii="仿宋_GB2312" w:hAnsi="仿宋" w:eastAsia="仿宋_GB2312"/>
                <w:sz w:val="32"/>
                <w:szCs w:val="32"/>
              </w:rPr>
              <w:t>48</w:t>
            </w:r>
          </w:p>
        </w:tc>
        <w:tc>
          <w:tcPr>
            <w:tcW w:w="1521"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 w:eastAsia="仿宋_GB2312"/>
                <w:sz w:val="32"/>
                <w:szCs w:val="32"/>
              </w:rPr>
            </w:pPr>
            <w:r>
              <w:rPr>
                <w:rFonts w:hint="eastAsia" w:ascii="仿宋_GB2312" w:hAnsi="仿宋" w:eastAsia="仿宋_GB2312"/>
                <w:sz w:val="32"/>
                <w:szCs w:val="32"/>
              </w:rPr>
              <w:t>1-6</w:t>
            </w:r>
          </w:p>
        </w:tc>
        <w:tc>
          <w:tcPr>
            <w:tcW w:w="1530"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 w:eastAsia="仿宋_GB2312"/>
                <w:sz w:val="32"/>
                <w:szCs w:val="32"/>
              </w:rPr>
            </w:pPr>
            <w:r>
              <w:rPr>
                <w:rFonts w:hint="eastAsia" w:ascii="仿宋_GB2312" w:hAnsi="仿宋" w:eastAsia="仿宋_GB2312"/>
                <w:sz w:val="32"/>
                <w:szCs w:val="32"/>
              </w:rPr>
              <w:t>必修</w:t>
            </w:r>
          </w:p>
        </w:tc>
      </w:tr>
      <w:tr>
        <w:tblPrEx>
          <w:tblCellMar>
            <w:top w:w="0" w:type="dxa"/>
            <w:left w:w="0" w:type="dxa"/>
            <w:bottom w:w="0" w:type="dxa"/>
            <w:right w:w="0" w:type="dxa"/>
          </w:tblCellMar>
        </w:tblPrEx>
        <w:trPr>
          <w:trHeight w:val="935" w:hRule="atLeast"/>
          <w:jc w:val="center"/>
        </w:trPr>
        <w:tc>
          <w:tcPr>
            <w:tcW w:w="2967"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《习近平新时代中国特色社会主义思想概论》</w:t>
            </w:r>
          </w:p>
        </w:tc>
        <w:tc>
          <w:tcPr>
            <w:tcW w:w="1134"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 w:eastAsia="仿宋_GB2312"/>
                <w:sz w:val="32"/>
                <w:szCs w:val="32"/>
              </w:rPr>
            </w:pPr>
            <w:r>
              <w:rPr>
                <w:rFonts w:hint="eastAsia" w:ascii="仿宋_GB2312" w:hAnsi="仿宋" w:eastAsia="仿宋_GB2312"/>
                <w:sz w:val="32"/>
                <w:szCs w:val="32"/>
              </w:rPr>
              <w:t>3</w:t>
            </w:r>
          </w:p>
        </w:tc>
        <w:tc>
          <w:tcPr>
            <w:tcW w:w="1134"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 w:eastAsia="仿宋_GB2312"/>
                <w:sz w:val="32"/>
                <w:szCs w:val="32"/>
              </w:rPr>
            </w:pPr>
            <w:r>
              <w:rPr>
                <w:rFonts w:hint="eastAsia" w:ascii="仿宋_GB2312" w:hAnsi="仿宋" w:eastAsia="仿宋_GB2312"/>
                <w:sz w:val="32"/>
                <w:szCs w:val="32"/>
              </w:rPr>
              <w:t>48</w:t>
            </w:r>
          </w:p>
        </w:tc>
        <w:tc>
          <w:tcPr>
            <w:tcW w:w="1521"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 w:eastAsia="仿宋_GB2312"/>
                <w:sz w:val="32"/>
                <w:szCs w:val="32"/>
              </w:rPr>
            </w:pPr>
            <w:r>
              <w:rPr>
                <w:rFonts w:hint="eastAsia" w:ascii="仿宋_GB2312" w:hAnsi="仿宋" w:eastAsia="仿宋_GB2312"/>
                <w:sz w:val="32"/>
                <w:szCs w:val="32"/>
              </w:rPr>
              <w:t>4</w:t>
            </w:r>
          </w:p>
        </w:tc>
        <w:tc>
          <w:tcPr>
            <w:tcW w:w="1530"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 w:eastAsia="仿宋_GB2312"/>
                <w:sz w:val="32"/>
                <w:szCs w:val="32"/>
              </w:rPr>
            </w:pPr>
            <w:r>
              <w:rPr>
                <w:rFonts w:hint="eastAsia" w:ascii="仿宋_GB2312" w:hAnsi="仿宋" w:eastAsia="仿宋_GB2312"/>
                <w:sz w:val="32"/>
                <w:szCs w:val="32"/>
              </w:rPr>
              <w:t>必修</w:t>
            </w:r>
          </w:p>
        </w:tc>
      </w:tr>
      <w:tr>
        <w:tblPrEx>
          <w:tblCellMar>
            <w:top w:w="0" w:type="dxa"/>
            <w:left w:w="0" w:type="dxa"/>
            <w:bottom w:w="0" w:type="dxa"/>
            <w:right w:w="0" w:type="dxa"/>
          </w:tblCellMar>
        </w:tblPrEx>
        <w:trPr>
          <w:trHeight w:val="1279" w:hRule="atLeast"/>
          <w:jc w:val="center"/>
        </w:trPr>
        <w:tc>
          <w:tcPr>
            <w:tcW w:w="2967"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实践教学</w:t>
            </w:r>
          </w:p>
        </w:tc>
        <w:tc>
          <w:tcPr>
            <w:tcW w:w="1134"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 w:eastAsia="仿宋_GB2312"/>
                <w:sz w:val="32"/>
                <w:szCs w:val="32"/>
              </w:rPr>
            </w:pPr>
            <w:r>
              <w:rPr>
                <w:rFonts w:hint="eastAsia" w:ascii="仿宋_GB2312" w:hAnsi="仿宋" w:eastAsia="仿宋_GB2312"/>
                <w:sz w:val="32"/>
                <w:szCs w:val="32"/>
              </w:rPr>
              <w:t>1</w:t>
            </w:r>
          </w:p>
        </w:tc>
        <w:tc>
          <w:tcPr>
            <w:tcW w:w="1134"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 w:eastAsia="仿宋_GB2312"/>
                <w:sz w:val="32"/>
                <w:szCs w:val="32"/>
              </w:rPr>
            </w:pPr>
            <w:r>
              <w:rPr>
                <w:rFonts w:hint="eastAsia" w:ascii="仿宋_GB2312" w:hAnsi="仿宋" w:eastAsia="仿宋_GB2312"/>
                <w:sz w:val="32"/>
                <w:szCs w:val="32"/>
              </w:rPr>
              <w:t>16</w:t>
            </w:r>
          </w:p>
        </w:tc>
        <w:tc>
          <w:tcPr>
            <w:tcW w:w="1521" w:type="dxa"/>
            <w:tcBorders>
              <w:top w:val="nil"/>
              <w:left w:val="single" w:color="000000" w:sz="8" w:space="0"/>
              <w:bottom w:val="single" w:color="000000" w:sz="8"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 w:eastAsia="仿宋_GB2312"/>
                <w:sz w:val="32"/>
                <w:szCs w:val="32"/>
              </w:rPr>
            </w:pPr>
            <w:r>
              <w:rPr>
                <w:rFonts w:hint="eastAsia" w:ascii="仿宋_GB2312" w:hAnsi="仿宋" w:eastAsia="仿宋_GB2312"/>
                <w:sz w:val="32"/>
                <w:szCs w:val="32"/>
              </w:rPr>
              <w:t>1-3</w:t>
            </w:r>
          </w:p>
        </w:tc>
        <w:tc>
          <w:tcPr>
            <w:tcW w:w="1530" w:type="dxa"/>
            <w:tcBorders>
              <w:top w:val="nil"/>
              <w:left w:val="single" w:color="auto" w:sz="4" w:space="0"/>
              <w:bottom w:val="single" w:color="000000" w:sz="8" w:space="0"/>
              <w:right w:val="single" w:color="000000"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 w:eastAsia="仿宋_GB2312"/>
                <w:sz w:val="32"/>
                <w:szCs w:val="32"/>
              </w:rPr>
            </w:pPr>
            <w:r>
              <w:rPr>
                <w:rFonts w:hint="eastAsia" w:ascii="仿宋_GB2312" w:hAnsi="仿宋" w:eastAsia="仿宋_GB2312"/>
                <w:sz w:val="32"/>
                <w:szCs w:val="32"/>
              </w:rPr>
              <w:t>必修</w:t>
            </w:r>
          </w:p>
        </w:tc>
      </w:tr>
      <w:tr>
        <w:tblPrEx>
          <w:tblCellMar>
            <w:top w:w="0" w:type="dxa"/>
            <w:left w:w="0" w:type="dxa"/>
            <w:bottom w:w="0" w:type="dxa"/>
            <w:right w:w="0" w:type="dxa"/>
          </w:tblCellMar>
        </w:tblPrEx>
        <w:trPr>
          <w:trHeight w:val="1279" w:hRule="atLeast"/>
          <w:jc w:val="center"/>
        </w:trPr>
        <w:tc>
          <w:tcPr>
            <w:tcW w:w="2967"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四史（党史、新中国史、改革开放史、社会主义发展史）</w:t>
            </w:r>
          </w:p>
        </w:tc>
        <w:tc>
          <w:tcPr>
            <w:tcW w:w="1134"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 w:eastAsia="仿宋_GB2312"/>
                <w:sz w:val="32"/>
                <w:szCs w:val="32"/>
              </w:rPr>
            </w:pPr>
            <w:r>
              <w:rPr>
                <w:rFonts w:hint="eastAsia" w:ascii="仿宋_GB2312" w:hAnsi="仿宋" w:eastAsia="仿宋_GB2312"/>
                <w:sz w:val="32"/>
                <w:szCs w:val="32"/>
              </w:rPr>
              <w:t>1</w:t>
            </w:r>
          </w:p>
        </w:tc>
        <w:tc>
          <w:tcPr>
            <w:tcW w:w="1134"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 w:eastAsia="仿宋_GB2312"/>
                <w:sz w:val="32"/>
                <w:szCs w:val="32"/>
              </w:rPr>
            </w:pPr>
            <w:r>
              <w:rPr>
                <w:rFonts w:hint="eastAsia" w:ascii="仿宋_GB2312" w:hAnsi="仿宋" w:eastAsia="仿宋_GB2312"/>
                <w:sz w:val="32"/>
                <w:szCs w:val="32"/>
              </w:rPr>
              <w:t>16</w:t>
            </w:r>
          </w:p>
        </w:tc>
        <w:tc>
          <w:tcPr>
            <w:tcW w:w="1521" w:type="dxa"/>
            <w:tcBorders>
              <w:top w:val="nil"/>
              <w:left w:val="single" w:color="000000" w:sz="8" w:space="0"/>
              <w:bottom w:val="single" w:color="000000" w:sz="8"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 w:eastAsia="仿宋_GB2312"/>
                <w:sz w:val="32"/>
                <w:szCs w:val="32"/>
              </w:rPr>
            </w:pPr>
            <w:r>
              <w:rPr>
                <w:rFonts w:hint="eastAsia" w:ascii="仿宋_GB2312" w:hAnsi="仿宋" w:eastAsia="仿宋_GB2312"/>
                <w:sz w:val="32"/>
                <w:szCs w:val="32"/>
              </w:rPr>
              <w:t>自选</w:t>
            </w:r>
          </w:p>
        </w:tc>
        <w:tc>
          <w:tcPr>
            <w:tcW w:w="1530" w:type="dxa"/>
            <w:tcBorders>
              <w:top w:val="nil"/>
              <w:left w:val="single" w:color="auto" w:sz="4" w:space="0"/>
              <w:bottom w:val="single" w:color="000000" w:sz="8" w:space="0"/>
              <w:right w:val="single" w:color="000000"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 w:eastAsia="仿宋_GB2312"/>
                <w:sz w:val="32"/>
                <w:szCs w:val="32"/>
              </w:rPr>
            </w:pPr>
            <w:r>
              <w:rPr>
                <w:rFonts w:hint="eastAsia" w:ascii="仿宋_GB2312" w:hAnsi="仿宋" w:eastAsia="仿宋_GB2312"/>
                <w:sz w:val="32"/>
                <w:szCs w:val="32"/>
              </w:rPr>
              <w:t>选择性</w:t>
            </w: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 w:eastAsia="仿宋_GB2312"/>
                <w:sz w:val="32"/>
                <w:szCs w:val="32"/>
              </w:rPr>
            </w:pPr>
            <w:r>
              <w:rPr>
                <w:rFonts w:hint="eastAsia" w:ascii="仿宋_GB2312" w:hAnsi="仿宋" w:eastAsia="仿宋_GB2312"/>
                <w:sz w:val="32"/>
                <w:szCs w:val="32"/>
              </w:rPr>
              <w:t>必修</w:t>
            </w:r>
          </w:p>
        </w:tc>
      </w:tr>
      <w:tr>
        <w:tblPrEx>
          <w:tblCellMar>
            <w:top w:w="0" w:type="dxa"/>
            <w:left w:w="0" w:type="dxa"/>
            <w:bottom w:w="0" w:type="dxa"/>
            <w:right w:w="0" w:type="dxa"/>
          </w:tblCellMar>
        </w:tblPrEx>
        <w:trPr>
          <w:trHeight w:val="1279" w:hRule="atLeast"/>
          <w:jc w:val="center"/>
        </w:trPr>
        <w:tc>
          <w:tcPr>
            <w:tcW w:w="2967"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四模块（宪法法律、中华优秀传统文化、劳动教育、承德地方红色文化）</w:t>
            </w:r>
          </w:p>
        </w:tc>
        <w:tc>
          <w:tcPr>
            <w:tcW w:w="1134"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 w:eastAsia="仿宋_GB2312"/>
                <w:sz w:val="32"/>
                <w:szCs w:val="32"/>
              </w:rPr>
            </w:pPr>
            <w:r>
              <w:rPr>
                <w:rFonts w:hint="eastAsia" w:ascii="仿宋_GB2312" w:hAnsi="仿宋" w:eastAsia="仿宋_GB2312"/>
                <w:sz w:val="32"/>
                <w:szCs w:val="32"/>
              </w:rPr>
              <w:t>1</w:t>
            </w:r>
          </w:p>
        </w:tc>
        <w:tc>
          <w:tcPr>
            <w:tcW w:w="1134"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 w:eastAsia="仿宋_GB2312"/>
                <w:sz w:val="32"/>
                <w:szCs w:val="32"/>
              </w:rPr>
            </w:pPr>
            <w:r>
              <w:rPr>
                <w:rFonts w:hint="eastAsia" w:ascii="仿宋_GB2312" w:hAnsi="仿宋" w:eastAsia="仿宋_GB2312"/>
                <w:sz w:val="32"/>
                <w:szCs w:val="32"/>
              </w:rPr>
              <w:t>16</w:t>
            </w:r>
          </w:p>
        </w:tc>
        <w:tc>
          <w:tcPr>
            <w:tcW w:w="1521" w:type="dxa"/>
            <w:tcBorders>
              <w:top w:val="nil"/>
              <w:left w:val="single" w:color="000000" w:sz="8" w:space="0"/>
              <w:bottom w:val="single" w:color="000000" w:sz="8"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 w:eastAsia="仿宋_GB2312"/>
                <w:sz w:val="32"/>
                <w:szCs w:val="32"/>
              </w:rPr>
            </w:pPr>
            <w:r>
              <w:rPr>
                <w:rFonts w:hint="eastAsia" w:ascii="仿宋_GB2312" w:hAnsi="仿宋" w:eastAsia="仿宋_GB2312"/>
                <w:sz w:val="32"/>
                <w:szCs w:val="32"/>
              </w:rPr>
              <w:t>自选</w:t>
            </w:r>
          </w:p>
        </w:tc>
        <w:tc>
          <w:tcPr>
            <w:tcW w:w="1530" w:type="dxa"/>
            <w:tcBorders>
              <w:top w:val="nil"/>
              <w:left w:val="single" w:color="auto" w:sz="4" w:space="0"/>
              <w:bottom w:val="single" w:color="000000" w:sz="8" w:space="0"/>
              <w:right w:val="single" w:color="000000"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 w:eastAsia="仿宋_GB2312"/>
                <w:sz w:val="32"/>
                <w:szCs w:val="32"/>
              </w:rPr>
            </w:pPr>
            <w:r>
              <w:rPr>
                <w:rFonts w:hint="eastAsia" w:ascii="仿宋_GB2312" w:hAnsi="仿宋" w:eastAsia="仿宋_GB2312"/>
                <w:sz w:val="32"/>
                <w:szCs w:val="32"/>
              </w:rPr>
              <w:t>选修</w:t>
            </w:r>
          </w:p>
        </w:tc>
      </w:tr>
    </w:tbl>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 w:eastAsia="仿宋_GB2312"/>
          <w:sz w:val="32"/>
          <w:szCs w:val="32"/>
        </w:rPr>
        <w:t>拓展课堂教学内容。坚持用习近平新时代中国特色社会主义思想铸魂育人，坚持爱国和爱党爱社会主义相统一，系统开展马克思主义理论教育、中国特色社会主义和中国梦教育、社会主义核心价值观教育、法治教育、劳动教育、心理健康教育、中华优秀传统文化教育。围绕新时代伟大实践，充分挖掘承德地方红色文化、校史资源，将伟大建党精神和抗疫精神、科学家精神、载人航天精神、塞罕坝精神等伟大精神，生动鲜活的实践成就，以及英雄模范的先进事迹等引入课堂，推动党的创新理论融入各门思政课。</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 w:eastAsia="仿宋_GB2312"/>
          <w:sz w:val="32"/>
          <w:szCs w:val="32"/>
        </w:rPr>
        <w:t>创新课堂教学方法。加强对学生思想、心理及关心的热点难点问题研究，制定针对性的教学方案。善于采用多样化的教学方法，注重发挥学生主体性作用，积极运用小组研学、情景展示、课题研讨、课堂辩论等方式组织课堂实践。立足新时代中国特色社会主义鲜活实践，运用案例材料，找准切入点、聚焦点、结合点，在政治引导、学理阐释和价值塑造上下功夫，提升教学实效。积极探索“361”课堂教学模式改革，充分利用“三个课堂”“六种场合”，建设虚拟仿真思政课体验教学中心，推动现代信息技术和人工智能在思政课教学中的应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 w:eastAsia="仿宋_GB2312"/>
          <w:sz w:val="32"/>
          <w:szCs w:val="32"/>
        </w:rPr>
        <w:t>优化教学评价体系。建立教师自评、同行评价、学生评价、系部评价、督导评价组成的思政课课堂教学质量评价体系。加强过程性评价，用好思政课教学评价结果，</w:t>
      </w:r>
      <w:r>
        <w:rPr>
          <w:rFonts w:hint="eastAsia" w:ascii="仿宋_GB2312" w:hAnsi="仿宋" w:eastAsia="仿宋_GB2312"/>
          <w:sz w:val="32"/>
          <w:szCs w:val="32"/>
          <w:lang w:val="en-US" w:eastAsia="zh-CN"/>
        </w:rPr>
        <w:t>将其</w:t>
      </w:r>
      <w:r>
        <w:rPr>
          <w:rFonts w:hint="eastAsia" w:ascii="仿宋_GB2312" w:hAnsi="仿宋" w:eastAsia="仿宋_GB2312"/>
          <w:sz w:val="32"/>
          <w:szCs w:val="32"/>
        </w:rPr>
        <w:t>作为马克思主义学院考核的重要指标和思政课教师绩效考核、职称晋升、评奖评优等的重要依据。聘请思政课退休教师担任教学督导员，助力青年教师的成长。</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 w:eastAsia="仿宋_GB2312"/>
          <w:sz w:val="32"/>
          <w:szCs w:val="32"/>
        </w:rPr>
        <w:t>推动课程思政与思政课程同频同向。一是建立专业课教师、思政课教师及辅导员协同联动机制，开展教学研究交流，将课程思政纳入教师岗前培训、在岗培训和师德师风、教学能力专题培训等活动。马克思主义学院安排相关思政教师到系部，对专业的课程思政内容进行指导。充分发挥本地的课程思政资源，融入到专业学科的教学内容中，用本地资源、身边事教育学生。各学科在集体备课中，挖掘课程内容的思政元素，探讨融入课堂的路径，做到教书育人相统一。二是设立校级课程思政教学改革专项课题，培育一批示范性强、可推广的课程思政建设研究与实践成果。凝练课程思政元素，组织编写《承德应用技术职业学院思政元素手册》《承德应用技术职业学院课程思政优秀案例集》等。按照学校及院系要求修订课程教学大纲，根据人才培养目标开展课程思政教学设计与实践。开展课程思政线上优秀教学资源建设，选树课程思政示范专业、示范课程、示范团队。各系结合专业特色，发挥专业所长，凝练课程思政育人特色。</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 w:eastAsia="仿宋_GB2312"/>
          <w:sz w:val="32"/>
          <w:szCs w:val="32"/>
        </w:rPr>
        <w:t>深入实施“思政金课研磨打造工程”。一是以教研室为单位研磨备课。两校区全体专职思政课教师每人至少打磨能够代表本人当前最高水平、最大吸引力的精彩课程（不少于一学时）。各教研室和思政联系校领导指导教师认真撰写教案、教学设计，精心制作配套PPT等教学资料，通过课堂试讲、示范课展演、集体备课等活动进行交流展示，不断加以完善，精益求精。二是组织校级磨课练兵。两校区各教研室根据研磨备课情况，择优推选优秀专职思政教师参加校级磨课练兵。学校教务处、马克思主义学院邀请校外思想政治课优秀教师、思想政治教育专家等组成导师团，对报送的教师和课程进行遴选，对选出的“准金课”教师给予一对一指导、深入研磨，最终认定一批政治有硬度、思想有高度、理论有深度、历史有厚度、案例有信度、情感有温度，表达有力度的思政金课。录制思政金课视频公开课，丰富精品课程资源，形成示范效应，并推荐相关教师参与市级各类宣讲团、巡讲团活动，为教师提供立体多元的展示舞台，扩大社会影响力。三是进行不定期抽查展示。由教务处、马克思主义学院不定期从专职思政课教师中随机抽取教师进行教学展示，对两校区、各教研室磨课成效进行检查。展示题目、内容均由教师自定，重点展示能够体现自身磨课成效的教学内容。 确保所有思政课教师全覆盖。</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楷体" w:hAnsi="楷体" w:eastAsia="楷体"/>
          <w:sz w:val="32"/>
          <w:szCs w:val="32"/>
        </w:rPr>
      </w:pPr>
      <w:r>
        <w:rPr>
          <w:rFonts w:hint="eastAsia" w:ascii="楷体" w:hAnsi="楷体" w:eastAsia="楷体"/>
          <w:sz w:val="32"/>
          <w:szCs w:val="32"/>
        </w:rPr>
        <w:t>（二）创新开展实践教学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 w:eastAsia="仿宋_GB2312"/>
          <w:sz w:val="32"/>
          <w:szCs w:val="32"/>
        </w:rPr>
        <w:t>构建实践教学工作体系。建立党委统一领导，马克思主义学院积极协调，教务处、党群工作处、学工处（团委）等职能部门密切配合的思政课实践教学工作体系。马克思主义学院牵头整合思政课教师和辅导员队伍，共同参与组织指导思政课实践教学。将思政课教师、辅导员指导学生开展实践活动、学生理论社团、学生社区建设、易班教学等纳入教学工作量考核。参照学生专业实训（实习）标准设立思政课实践教学专项经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 w:eastAsia="仿宋_GB2312"/>
          <w:sz w:val="32"/>
          <w:szCs w:val="32"/>
        </w:rPr>
        <w:t>按照实践教学1学分16学时要求，组织开展多样化的实践教学。设计实践教学方案，按照目标要求，融入大学生暑期“三下乡”“志愿服务西部计划”等传统项目；组织实施好“互联网+”大学生创新创业大赛青年红色筑梦之旅、习近平新时代中国特色社会主义思想大学习领航计划、“小我融入大我，青春献给祖国”主题社会实践、“技能成才，强国有我”主题教育、“牢记时代使命，书写人生华章”等活动。紧扣思政课实践教学目标和要求，广泛组织开展社会调查、生产劳动、社会公益、志愿服务、理论宣讲、主题读书、科技发明、勤工俭学等实践活动，创办形式多样的“行走课堂”。要对学生实践教学进行总结评价，认真总结实践教学成果，把优秀成果作为课堂教学的有效补充。积极推动实践教学规范化、科学化、可操作性。</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 w:eastAsia="仿宋_GB2312"/>
          <w:sz w:val="32"/>
          <w:szCs w:val="32"/>
        </w:rPr>
        <w:t>建好用好思政课实践教学基地。充分利用教育部高校思政课教师研学基地和各级教育部门设立的实践教学基地，充分挖掘本地资源，依托塞罕坝机械林场、承德市民族团结展览馆、城市社区、农村乡镇、工矿企业、爱国主义教育场所等，挂牌建立思政课实践教学基地，开发现场教学专题，开展实践教学。与有关基地建立长效合作机制，加强研究和资源开发，协同完成好实践教学任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 w:eastAsia="仿宋_GB2312"/>
          <w:sz w:val="32"/>
          <w:szCs w:val="32"/>
        </w:rPr>
        <w:t>大力推进特色思政实践教学项目。一是深入开展“塞罕坝精神进校园”。打造“塞罕坝精神”思政精品示范课，以组歌、组诗、故事讲述等舞台形式呈现一堂“思政大课”，覆盖全部学生；成立“塞罕坝精神研究会”和面向学生的“塞罕坝精神学习会”，通过课题研究、研讨会、社团、二课形式，以理论研讨、学习交流、社团活动、精神宣讲等为载体，弘扬、践行塞罕坝精神。思政课教师加强对学生成长规律和教学改革的研究，积极推进塞罕坝精神案例式、探究式、体验式、互动式等教学；建设塞罕坝精彩教案、精彩课件、精彩课程资源库，实现优质教学资源共建共享；编写《塞罕坝精神学习读本》，组织塞罕坝精神演讲、征文、微电影、微课、文艺创作、艺术设计等系列活动，发布关于塞罕坝精神研究及践行的相关课题，开展关于塞罕坝精神相关的劳动实践课。二是探访承德本地、河北省内有教育意义的红色教育基地，搜集照片、视频、故事等思政课素材，把学生身边的故事讲给学生，引发共鸣，达到思想引领的作用。利用假期安排思政课教师到学生家乡组织当地学生进行实践教学，挖掘资源，开发思政课实践教学案例，充实学院思政课资源库。三是利用学院自身资源，以马克思主义学院四个教研室为主体，打造具有教师自身特色的主题思政实践教学，如利用图书馆资源开展红色影视融入思政课实践教学，利用非遗大师工作室资源开展中华优秀传统文化实践教学，利用中国精神展厅、党建长廊资源打造中国精神、党史教育实践教学，实现资源建设共建共享。四是打造日常思政教育品牌活动。学院党委书记、院长在开学、毕业典礼等重要场合，讲授“思政大课”。以重大纪念日、重大历史事件为契机组织专题教育，开展职教学生读党报、新时代先进人物进校园、知行大讲堂等活动，组织专题“思政大课”。办好校园文化艺术节、体育节和科技节，将科学家精神、劳模精神、工匠精神等思政元素融入活动。</w:t>
      </w:r>
      <w:r>
        <w:rPr>
          <w:rFonts w:hint="eastAsia" w:ascii="仿宋" w:hAnsi="仿宋" w:eastAsia="仿宋" w:cs="仿宋"/>
          <w:sz w:val="32"/>
          <w:szCs w:val="32"/>
        </w:rPr>
        <w:t>〔</w:t>
      </w:r>
      <w:r>
        <w:rPr>
          <w:rFonts w:hint="eastAsia" w:ascii="仿宋_GB2312" w:hAnsi="仿宋" w:eastAsia="仿宋_GB2312"/>
          <w:sz w:val="32"/>
          <w:szCs w:val="32"/>
        </w:rPr>
        <w:t>负责部门：马克思主义学院、后勤处</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保卫处</w:t>
      </w:r>
      <w:r>
        <w:rPr>
          <w:rFonts w:hint="eastAsia" w:ascii="仿宋_GB2312" w:hAnsi="仿宋" w:eastAsia="仿宋_GB2312"/>
          <w:sz w:val="32"/>
          <w:szCs w:val="32"/>
          <w:lang w:eastAsia="zh-CN"/>
        </w:rPr>
        <w:t>）</w:t>
      </w:r>
      <w:r>
        <w:rPr>
          <w:rFonts w:hint="eastAsia" w:ascii="仿宋_GB2312" w:hAnsi="仿宋" w:eastAsia="仿宋_GB2312"/>
          <w:sz w:val="32"/>
          <w:szCs w:val="32"/>
        </w:rPr>
        <w:t>、图书馆</w:t>
      </w:r>
      <w:r>
        <w:rPr>
          <w:rFonts w:hint="eastAsia" w:ascii="仿宋" w:hAnsi="仿宋" w:eastAsia="仿宋" w:cs="仿宋"/>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 w:eastAsia="仿宋_GB2312"/>
          <w:sz w:val="32"/>
          <w:szCs w:val="32"/>
        </w:rPr>
        <w:t>做好网络思政工作，抓住网络资源教育主动权。充分利用思政课集体备课平台、中共中央党校（国家行政学院）、“思政课”公众号、“高校政治理论课教学活页公众号”、建好思政课程资源库，依托网络教育阵地，拓宽丰富学生学习资源。开展网络专题调研，动态掌握师生思想状况。加强对网上观点、模糊认识和校园情绪的引导。开设网络思政教育专栏，发挥价值引领作用。运用多媒体平台直播学校各种大型活动，第一时间向外界提供丰富详实的图文报道，在学校热点事件的新闻宣传上掌握主动权。组建网络思政学习团队和研究团队，与系部合作，开展网络思政课题研究和实践项目，打造一支由思政课教师、教学名师、党政干部组成的网络“领航员”队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楷体" w:hAnsi="楷体" w:eastAsia="楷体"/>
          <w:sz w:val="32"/>
          <w:szCs w:val="32"/>
        </w:rPr>
      </w:pPr>
      <w:r>
        <w:rPr>
          <w:rFonts w:hint="eastAsia" w:ascii="楷体" w:hAnsi="楷体" w:eastAsia="楷体"/>
          <w:sz w:val="32"/>
          <w:szCs w:val="32"/>
        </w:rPr>
        <w:t>（三）提升思政课教学科研水平</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仿宋" w:eastAsia="仿宋_GB2312"/>
          <w:sz w:val="32"/>
          <w:szCs w:val="32"/>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 w:eastAsia="仿宋_GB2312"/>
          <w:sz w:val="32"/>
          <w:szCs w:val="32"/>
        </w:rPr>
        <w:t>加强教学研究。深入研究教材内容，吃准吃透教材基本精神，全面把握教材重点、难点，认真做好教材转化工作，编写好教案，切实推动教材体系向教学体系转化。坚持以思政课教学为核心的科研导向，紧紧围绕马克思主义理论学科内涵开展科研，深入研究思政课教学方法和教学重点难点问题。立足新时代中国特色社会主义鲜活实践，找准切入点、聚焦点、结合点，深入研究坚持和发展中国特色社会主义的重大理论和实践问题，加强马克思主义理论研究宣传。发挥学院中高职一体化办学的优势，积极开展中高职思想政治教育一体化建设和研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_GB2312" w:eastAsia="仿宋_GB2312" w:cs="仿宋_GB2312"/>
          <w:color w:val="auto"/>
          <w:sz w:val="32"/>
          <w:szCs w:val="32"/>
          <w:highlight w:val="none"/>
        </w:rPr>
        <w:t>2</w:t>
      </w:r>
      <w:r>
        <w:rPr>
          <w:rFonts w:hint="eastAsia" w:ascii="Times New Roman" w:hAnsi="Times New Roman" w:eastAsia="仿宋_GB2312" w:cs="Times New Roman"/>
          <w:color w:val="auto"/>
          <w:sz w:val="32"/>
          <w:szCs w:val="32"/>
          <w:highlight w:val="none"/>
          <w:lang w:val="en-US" w:eastAsia="zh-CN"/>
        </w:rPr>
        <w:t>.</w:t>
      </w:r>
      <w:r>
        <w:rPr>
          <w:rFonts w:hint="eastAsia" w:ascii="仿宋_GB2312" w:hAnsi="仿宋" w:eastAsia="仿宋_GB2312"/>
          <w:sz w:val="32"/>
          <w:szCs w:val="32"/>
        </w:rPr>
        <w:t>以教研室为单位，组建教学科研创新团队。同其它院校建立校际协作机制，通过挂职、支教、进修等方式，共同开展教学研讨、共同组织课题研究、共同进行人才培养，提升教研科研能力。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 w:eastAsia="仿宋_GB2312"/>
          <w:sz w:val="32"/>
          <w:szCs w:val="32"/>
        </w:rPr>
        <w:t>积极申请国家社科基金规划项目、教育部人文社科研究项目，对思政课教学重点难点问题和教学方法改革创新等进行研究，并申请国家、省、市、校级课题。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 w:eastAsia="仿宋_GB2312"/>
          <w:sz w:val="32"/>
          <w:szCs w:val="32"/>
        </w:rPr>
        <w:t>鼓励思政课教师在思政理论研究学术期刊、学术网站上发表论文。在《人民日报》《求是》《解放军报》《光明日报》《经济日报》等中央媒体及地方党报党刊等主流媒体发表论文、评论。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楷体" w:hAnsi="楷体" w:eastAsia="楷体"/>
          <w:sz w:val="32"/>
          <w:szCs w:val="32"/>
        </w:rPr>
      </w:pPr>
      <w:r>
        <w:rPr>
          <w:rFonts w:hint="eastAsia" w:ascii="楷体" w:hAnsi="楷体" w:eastAsia="楷体"/>
          <w:sz w:val="32"/>
          <w:szCs w:val="32"/>
        </w:rPr>
        <w:t>（四）加强思政课教师队伍建设</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 w:eastAsia="仿宋_GB2312"/>
          <w:sz w:val="32"/>
          <w:szCs w:val="32"/>
        </w:rPr>
        <w:t>明确思政课教师的职责与要求。按照习近平总书记提出的“六个要”“八个统一”要求，思政课教师要积极修为，努力将课堂作为发挥自己作用的主要岗位阵地，切实承担好铸魂育人的时代重任。深刻领悟“两个确立”的决定性意义，增强“四个意识”，坚定“四个自信”，做到“两个维护”，始终在政治立场、政治方向、政治原则、政治道路上同以习近平同志为核心的党中央保持高度一致，模范践行高等学校教师师德规范。要用好国家统编教材，加强教学研究，深化教学改革创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 w:eastAsia="仿宋_GB2312"/>
          <w:sz w:val="32"/>
          <w:szCs w:val="32"/>
        </w:rPr>
        <w:t>加强思政课教师队伍的建设与管理。按照《新时代高等学校思想政治理论课教师队伍建设规定》，建设专职为主、专兼结合、数量充足、素质优良的思政课教师队伍。建立思政课特聘教授制度，积极聘请地方党政领导干部、企事业单位管理专家、社科理论界专家、各行业先进模范以及高校党委书记校长、院（系）党政负责人、名师大家和专业课骨干教师、日常思想政治教育骨干等加入思政教师队伍，讲授思政课；建立健全兼职教师制度，形成英雄人物、劳动模范、大国工匠等先进代表，以及革命博物馆、纪念馆、党史馆、烈士陵园等红色基地讲解员、志愿者经常性参与学院思政课教学的长效机制。聘请兄弟院校高水平思政教师来校讲座、授课，加强校际之间的联动、交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_GB2312" w:eastAsia="仿宋_GB2312" w:cs="仿宋_GB2312"/>
          <w:color w:val="auto"/>
          <w:sz w:val="32"/>
          <w:szCs w:val="32"/>
          <w:highlight w:val="none"/>
        </w:rPr>
        <w:t>3</w:t>
      </w:r>
      <w:r>
        <w:rPr>
          <w:rFonts w:hint="eastAsia" w:ascii="Times New Roman" w:hAnsi="Times New Roman" w:eastAsia="仿宋_GB2312" w:cs="Times New Roman"/>
          <w:color w:val="auto"/>
          <w:sz w:val="32"/>
          <w:szCs w:val="32"/>
          <w:highlight w:val="none"/>
          <w:lang w:val="en-US" w:eastAsia="zh-CN"/>
        </w:rPr>
        <w:t>.</w:t>
      </w:r>
      <w:r>
        <w:rPr>
          <w:rFonts w:hint="eastAsia" w:ascii="仿宋_GB2312" w:hAnsi="仿宋" w:eastAsia="仿宋_GB2312"/>
          <w:sz w:val="32"/>
          <w:szCs w:val="32"/>
        </w:rPr>
        <w:t>强化教师的培养与培训。以培养真学真懂真信真用马克思主义的教师为目标，完善培养培训体系。一是以教研室为单位建立健全严格的新教师试讲制度、集体备课制度、教师听课互评制度、集中命题制度等，组织教师集中研讨提问题、集中培训提素质、集中备课提质量。二是实施头雁引领，打造一流团队。聘请全国优秀马克思主义学院院长到校或者通过网络会议形式进行示范课、指导教研、科研及马克思主义学院建设发展工作。三是所有教师参加省级或中宣部、教育部组织的示范培训或课程培训或骨干研修。每年对全体教师至少培训一次。每学年至少安排1/4的专职教师开展学术交流、实践研修或学习考察活动。专职教师进行脱产或半脱产进修，每人每4年至少一次。鼓励支持教师攻读马克思主义理论相关学科博士学位。四是推进思想政治理论课教师担任各类思政兴趣小组、社团指导教师，举办大学生马克思主义理论经典著作读书分享会、主旋律电影赏析交流会等一系列红色活动，带动教师成长。</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bookmarkStart w:id="2" w:name="_GoBack"/>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w:t>
      </w:r>
      <w:bookmarkEnd w:id="2"/>
      <w:r>
        <w:rPr>
          <w:rFonts w:hint="eastAsia" w:ascii="仿宋_GB2312" w:hAnsi="仿宋" w:eastAsia="仿宋_GB2312"/>
          <w:sz w:val="32"/>
          <w:szCs w:val="32"/>
        </w:rPr>
        <w:t>完善思政课教师评价和激励机制。一是完善思政课教师考核评价机制。在学院教师评价的体系框架内，根据思政课教师的专业特点和工作要求，细化评价方案，对思政课教师师德师风、教学质量、科研成果、社会服务等方面进行综合评价。二是落实思政课教师岗位津贴，纳入绩效工资管理，实现绩效与考核挂钩。培树思政课教师先进典型，对立场坚定、学养深厚、联系实际、成果突出的思政课教师优秀代表加大宣传力度，发挥示范引领作用。探索实行思想政治理论课教师课堂教学退出机制。三是健全思政课教师专业技术职务（职称）评价机制。</w:t>
      </w:r>
      <w:r>
        <w:rPr>
          <w:rFonts w:hint="eastAsia" w:ascii="仿宋_GB2312" w:hAnsi="仿宋" w:eastAsia="仿宋_GB2312" w:cs="Arial"/>
          <w:sz w:val="32"/>
          <w:szCs w:val="32"/>
        </w:rPr>
        <w:t>在专业技术职务（职称）评聘工作中，单独设立马克思主义理论类别，制定实施符合思想政治理论课教师职业特点</w:t>
      </w:r>
      <w:r>
        <w:rPr>
          <w:rFonts w:hint="eastAsia" w:ascii="仿宋_GB2312" w:hAnsi="仿宋" w:eastAsia="仿宋_GB2312"/>
          <w:sz w:val="32"/>
          <w:szCs w:val="32"/>
        </w:rPr>
        <w:t>和岗位要求</w:t>
      </w:r>
      <w:r>
        <w:rPr>
          <w:rFonts w:hint="eastAsia" w:ascii="仿宋_GB2312" w:hAnsi="仿宋" w:eastAsia="仿宋_GB2312" w:cs="Arial"/>
          <w:sz w:val="32"/>
          <w:szCs w:val="32"/>
        </w:rPr>
        <w:t>的（职务）职称评聘标准，按教师比例核定思想政治理论课教师专业技术职务（职称）各类岗位占比，高级专业技术职务（职称）岗位比例不低于学校平均水平，指标不得挪作他用。校级专业技术职务（职称）评聘委员会要有同比例的马克思主义理论学科专家。</w:t>
      </w:r>
      <w:r>
        <w:rPr>
          <w:rFonts w:hint="eastAsia" w:ascii="仿宋_GB2312" w:hAnsi="仿宋" w:eastAsia="仿宋_GB2312"/>
          <w:sz w:val="32"/>
          <w:szCs w:val="32"/>
        </w:rPr>
        <w:t>明确思政系列教师学术成果认定，</w:t>
      </w:r>
      <w:r>
        <w:rPr>
          <w:rFonts w:hint="eastAsia" w:ascii="仿宋_GB2312" w:hAnsi="仿宋" w:eastAsia="仿宋_GB2312" w:cs="Arial"/>
          <w:sz w:val="32"/>
          <w:szCs w:val="32"/>
        </w:rPr>
        <w:t>将思政课教师在中央和地方主要媒体发表的理论文章纳入学术成果范围，教学科研成果可以是专著、论文、教学参考资料、调查报告、教书育人经验总结等。</w:t>
      </w:r>
      <w:r>
        <w:rPr>
          <w:rFonts w:hint="eastAsia" w:ascii="仿宋_GB2312" w:hAnsi="仿宋" w:eastAsia="仿宋_GB2312"/>
          <w:sz w:val="32"/>
          <w:szCs w:val="32"/>
        </w:rPr>
        <w:t>四是加大思政人才表彰奖励力度。学校荣誉适当向思政教师、辅导员、课程思政优秀人才倾斜，加大思政人才在先进工作者和教学质量奖等相关表彰中的评选力度，对符合条件的思政人才推荐授予五一劳动奖章、青年五四奖章、青年岗位能手、三八红旗手、巾帼建功标兵等荣誉，提高全校对思政人才的认可认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四、组织与保障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楷体" w:hAnsi="楷体" w:eastAsia="楷体"/>
          <w:sz w:val="32"/>
          <w:szCs w:val="32"/>
        </w:rPr>
      </w:pPr>
      <w:r>
        <w:rPr>
          <w:rFonts w:hint="eastAsia" w:ascii="楷体" w:hAnsi="楷体" w:eastAsia="楷体"/>
          <w:sz w:val="32"/>
          <w:szCs w:val="32"/>
        </w:rPr>
        <w:t>（一）健全学院党委领导、支持院行政负责实施的领导机制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仿宋" w:eastAsia="仿宋_GB2312"/>
          <w:sz w:val="32"/>
          <w:szCs w:val="32"/>
        </w:rPr>
      </w:pPr>
      <w:r>
        <w:rPr>
          <w:rFonts w:hint="eastAsia" w:ascii="仿宋_GB2312" w:hAnsi="仿宋" w:eastAsia="仿宋_GB2312"/>
          <w:sz w:val="32"/>
          <w:szCs w:val="32"/>
        </w:rPr>
        <w:t>坚持把从严管理和科学治理结合起来，院党委会、院长办公会每学期至少召开一次专题会议研究思想政治理论课建设，解决突出问题，在工作格局、队伍建设、支持保障等方面采取有效措施并组织抓好落实。</w:t>
      </w:r>
      <w:bookmarkStart w:id="1" w:name="_Hlk116635011"/>
      <w:r>
        <w:rPr>
          <w:rFonts w:hint="eastAsia" w:ascii="仿宋_GB2312" w:hAnsi="仿宋" w:eastAsia="仿宋_GB2312"/>
          <w:sz w:val="32"/>
          <w:szCs w:val="32"/>
        </w:rPr>
        <w:t>学院成立思政课建设工作领导小组</w:t>
      </w:r>
      <w:bookmarkEnd w:id="1"/>
      <w:r>
        <w:rPr>
          <w:rFonts w:hint="eastAsia" w:ascii="仿宋_GB2312" w:hAnsi="仿宋" w:eastAsia="仿宋_GB2312"/>
          <w:sz w:val="32"/>
          <w:szCs w:val="32"/>
        </w:rPr>
        <w:t>，名单如下：</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仿宋" w:eastAsia="仿宋_GB2312"/>
          <w:sz w:val="32"/>
          <w:szCs w:val="32"/>
        </w:rPr>
      </w:pPr>
      <w:r>
        <w:rPr>
          <w:rFonts w:hint="eastAsia" w:ascii="仿宋_GB2312" w:hAnsi="仿宋" w:eastAsia="仿宋_GB2312"/>
          <w:sz w:val="32"/>
          <w:szCs w:val="32"/>
        </w:rPr>
        <w:t>组</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长：卜立新 王兴华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仿宋" w:eastAsia="仿宋_GB2312"/>
          <w:sz w:val="32"/>
          <w:szCs w:val="32"/>
        </w:rPr>
      </w:pPr>
      <w:r>
        <w:rPr>
          <w:rFonts w:hint="eastAsia" w:ascii="仿宋_GB2312" w:hAnsi="仿宋" w:eastAsia="仿宋_GB2312"/>
          <w:sz w:val="32"/>
          <w:szCs w:val="32"/>
        </w:rPr>
        <w:t xml:space="preserve">副组长：刘俐宏 张新启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仿宋" w:eastAsia="仿宋_GB2312"/>
          <w:sz w:val="32"/>
          <w:szCs w:val="32"/>
        </w:rPr>
      </w:pPr>
      <w:r>
        <w:rPr>
          <w:rFonts w:hint="eastAsia" w:ascii="仿宋_GB2312" w:hAnsi="仿宋" w:eastAsia="仿宋_GB2312"/>
          <w:sz w:val="32"/>
          <w:szCs w:val="32"/>
        </w:rPr>
        <w:t>成员：杨立军、姜文焕、敖海军、齐世杰、王欣、王蕊、孙向龙、杨坤杰、杨春晖、赵民、齐付普、郭晓薇、王占亮、杨荣辉、田毅红、王振兴、黄丽丽、王海娇、刘欣、刘莉莉、候蕊、王鑫磊</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楷体" w:hAnsi="楷体" w:eastAsia="楷体"/>
          <w:sz w:val="32"/>
          <w:szCs w:val="32"/>
        </w:rPr>
      </w:pPr>
      <w:r>
        <w:rPr>
          <w:rFonts w:hint="eastAsia" w:ascii="楷体" w:hAnsi="楷体" w:eastAsia="楷体"/>
          <w:sz w:val="32"/>
          <w:szCs w:val="32"/>
        </w:rPr>
        <w:t>（二）建立规范有序、协调联动的工作机制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仿宋" w:eastAsia="仿宋_GB2312"/>
          <w:sz w:val="32"/>
          <w:szCs w:val="32"/>
        </w:rPr>
      </w:pPr>
      <w:r>
        <w:rPr>
          <w:rFonts w:hint="eastAsia" w:ascii="仿宋_GB2312" w:hAnsi="仿宋" w:eastAsia="仿宋_GB2312"/>
          <w:sz w:val="32"/>
          <w:szCs w:val="32"/>
        </w:rPr>
        <w:t>学院党委书记联系马克思主义学院，书记、院长带头听课讲课，带头联系思想政治理论课教师，每学年到思想政治理论课教研部门开现场办公会至少1次，听取思想政治理论课教学工作汇报，解决实际问题。党委书记、院长每学期至少给学生讲授4个课时思想政治理论课，领导班子其他成员每学期至少给学生讲授2个课时思想政治理论课。党委书记、院长长及分管思想政治理论课建设、教学、科研工作的院领导每学期至少听1次思政课。把思想政治理论课建设列入学院事业发展规划，纳入学院党建工作考核、办学质量和学科建设评估标准体系，作为学院重点课程建设。学院宣传、人事、教务、财务、科研、学工、团委等党政部门和马克思主义学院各负其责，相互配合，落实思想政治理论课教育教学、学科建设、人才培养、科研立项、社会实践、经费保障等各方面政策和措施。</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楷体" w:hAnsi="楷体" w:eastAsia="楷体"/>
          <w:sz w:val="32"/>
          <w:szCs w:val="32"/>
        </w:rPr>
      </w:pPr>
      <w:r>
        <w:rPr>
          <w:rFonts w:hint="eastAsia" w:ascii="楷体" w:hAnsi="楷体" w:eastAsia="楷体"/>
          <w:sz w:val="32"/>
          <w:szCs w:val="32"/>
        </w:rPr>
        <w:t>（三）加强马克思主义学院建设</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仿宋" w:eastAsia="仿宋_GB2312"/>
          <w:sz w:val="32"/>
          <w:szCs w:val="32"/>
        </w:rPr>
      </w:pPr>
      <w:r>
        <w:rPr>
          <w:rFonts w:hint="eastAsia" w:ascii="仿宋_GB2312" w:hAnsi="仿宋" w:eastAsia="仿宋_GB2312"/>
          <w:sz w:val="32"/>
          <w:szCs w:val="32"/>
        </w:rPr>
        <w:t>马克思主义学院统一管理思想政治理论课教师，承担马克思主义理论日常教学、科学研究、学科建设等工作。配齐配强马克思主义学院领导班子，根据课程设置成立《思想道德与法治》教研室、《毛泽东思想和中国特色社会主义理论体系概论》教研室、《习近平新时代中国特色社会主义思想概论》教研室、《形势与政策》四个教研室，办公用房和教学设备、基本图书资料、国内外主要社科期刊、声像资料、教学课件以及办公设备等，满足教学及办公需要。</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楷体" w:hAnsi="楷体" w:eastAsia="楷体"/>
          <w:sz w:val="32"/>
          <w:szCs w:val="32"/>
        </w:rPr>
      </w:pPr>
      <w:r>
        <w:rPr>
          <w:rFonts w:hint="eastAsia" w:ascii="楷体" w:hAnsi="楷体" w:eastAsia="楷体"/>
          <w:sz w:val="32"/>
          <w:szCs w:val="32"/>
        </w:rPr>
        <w:t>（四）强化经费保障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仿宋" w:eastAsia="仿宋_GB2312"/>
          <w:sz w:val="32"/>
          <w:szCs w:val="32"/>
        </w:rPr>
      </w:pPr>
      <w:r>
        <w:rPr>
          <w:rFonts w:hint="eastAsia" w:ascii="仿宋_GB2312" w:hAnsi="仿宋" w:eastAsia="仿宋_GB2312"/>
          <w:sz w:val="32"/>
          <w:szCs w:val="32"/>
        </w:rPr>
        <w:t>在保障马克思主义学院正常运转各项经费的同时，按每生每年不低于30元的标准提取专项经费，用于思政课教师学术交流、实践研修等，并随着学校经费的增长逐年增加，确保专款专用。按照《教育部等八部门关于加快构建高校思想政治工作体系的意见》要求，按照在校生总数每生每年不低于30元的标准设立网络思政工作专项经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仿宋" w:eastAsia="仿宋_GB2312"/>
          <w:sz w:val="32"/>
          <w:szCs w:val="32"/>
        </w:rPr>
      </w:pPr>
    </w:p>
    <w:sectPr>
      <w:headerReference r:id="rId9" w:type="default"/>
      <w:footerReference r:id="rId10"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8480"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32"/>
                              <w:szCs w:val="32"/>
                            </w:rPr>
                          </w:pPr>
                          <w:r>
                            <w:rPr>
                              <w:rFonts w:hint="default" w:ascii="Calibri" w:hAnsi="Calibri" w:cs="Calibri"/>
                              <w:sz w:val="32"/>
                              <w:szCs w:val="32"/>
                            </w:rPr>
                            <w:t>—</w:t>
                          </w:r>
                          <w:r>
                            <w:rPr>
                              <w:rFonts w:hint="default" w:ascii="Calibri" w:hAnsi="Calibri" w:eastAsia="宋体" w:cs="Calibri"/>
                              <w:sz w:val="32"/>
                              <w:szCs w:val="32"/>
                              <w:highlight w:val="none"/>
                            </w:rPr>
                            <w:t xml:space="preserve"> </w:t>
                          </w:r>
                          <w:r>
                            <w:rPr>
                              <w:rFonts w:hint="default" w:ascii="Calibri" w:hAnsi="Calibri" w:eastAsia="宋体" w:cs="Times New Roman"/>
                              <w:sz w:val="32"/>
                              <w:szCs w:val="32"/>
                              <w:highlight w:val="none"/>
                            </w:rPr>
                            <w:fldChar w:fldCharType="begin"/>
                          </w:r>
                          <w:r>
                            <w:rPr>
                              <w:rFonts w:hint="default" w:ascii="Calibri" w:hAnsi="Calibri" w:eastAsia="宋体" w:cs="Times New Roman"/>
                              <w:sz w:val="32"/>
                              <w:szCs w:val="32"/>
                              <w:highlight w:val="none"/>
                            </w:rPr>
                            <w:instrText xml:space="preserve"> PAGE  \* MERGEFORMAT </w:instrText>
                          </w:r>
                          <w:r>
                            <w:rPr>
                              <w:rFonts w:hint="default" w:ascii="Calibri" w:hAnsi="Calibri" w:eastAsia="宋体" w:cs="Times New Roman"/>
                              <w:sz w:val="32"/>
                              <w:szCs w:val="32"/>
                              <w:highlight w:val="none"/>
                            </w:rPr>
                            <w:fldChar w:fldCharType="separate"/>
                          </w:r>
                          <w:r>
                            <w:rPr>
                              <w:rFonts w:hint="default" w:ascii="Calibri" w:hAnsi="Calibri" w:eastAsia="宋体" w:cs="Times New Roman"/>
                              <w:sz w:val="32"/>
                              <w:szCs w:val="32"/>
                              <w:highlight w:val="none"/>
                            </w:rPr>
                            <w:t>1</w:t>
                          </w:r>
                          <w:r>
                            <w:rPr>
                              <w:rFonts w:hint="default" w:ascii="Calibri" w:hAnsi="Calibri" w:eastAsia="宋体" w:cs="Times New Roman"/>
                              <w:sz w:val="32"/>
                              <w:szCs w:val="32"/>
                              <w:highlight w:val="none"/>
                            </w:rPr>
                            <w:fldChar w:fldCharType="end"/>
                          </w:r>
                          <w:r>
                            <w:rPr>
                              <w:rFonts w:hint="default" w:ascii="Calibri" w:hAnsi="Calibri" w:eastAsia="宋体" w:cs="Times New Roman"/>
                              <w:sz w:val="32"/>
                              <w:szCs w:val="32"/>
                              <w:highlight w:val="none"/>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sz w:val="32"/>
                        <w:szCs w:val="32"/>
                      </w:rPr>
                    </w:pPr>
                    <w:r>
                      <w:rPr>
                        <w:rFonts w:hint="default" w:ascii="Calibri" w:hAnsi="Calibri" w:cs="Calibri"/>
                        <w:sz w:val="32"/>
                        <w:szCs w:val="32"/>
                      </w:rPr>
                      <w:t>—</w:t>
                    </w:r>
                    <w:r>
                      <w:rPr>
                        <w:rFonts w:hint="default" w:ascii="Calibri" w:hAnsi="Calibri" w:eastAsia="宋体" w:cs="Calibri"/>
                        <w:sz w:val="32"/>
                        <w:szCs w:val="32"/>
                        <w:highlight w:val="none"/>
                      </w:rPr>
                      <w:t xml:space="preserve"> </w:t>
                    </w:r>
                    <w:r>
                      <w:rPr>
                        <w:rFonts w:hint="default" w:ascii="Calibri" w:hAnsi="Calibri" w:eastAsia="宋体" w:cs="Times New Roman"/>
                        <w:sz w:val="32"/>
                        <w:szCs w:val="32"/>
                        <w:highlight w:val="none"/>
                      </w:rPr>
                      <w:fldChar w:fldCharType="begin"/>
                    </w:r>
                    <w:r>
                      <w:rPr>
                        <w:rFonts w:hint="default" w:ascii="Calibri" w:hAnsi="Calibri" w:eastAsia="宋体" w:cs="Times New Roman"/>
                        <w:sz w:val="32"/>
                        <w:szCs w:val="32"/>
                        <w:highlight w:val="none"/>
                      </w:rPr>
                      <w:instrText xml:space="preserve"> PAGE  \* MERGEFORMAT </w:instrText>
                    </w:r>
                    <w:r>
                      <w:rPr>
                        <w:rFonts w:hint="default" w:ascii="Calibri" w:hAnsi="Calibri" w:eastAsia="宋体" w:cs="Times New Roman"/>
                        <w:sz w:val="32"/>
                        <w:szCs w:val="32"/>
                        <w:highlight w:val="none"/>
                      </w:rPr>
                      <w:fldChar w:fldCharType="separate"/>
                    </w:r>
                    <w:r>
                      <w:rPr>
                        <w:rFonts w:hint="default" w:ascii="Calibri" w:hAnsi="Calibri" w:eastAsia="宋体" w:cs="Times New Roman"/>
                        <w:sz w:val="32"/>
                        <w:szCs w:val="32"/>
                        <w:highlight w:val="none"/>
                      </w:rPr>
                      <w:t>1</w:t>
                    </w:r>
                    <w:r>
                      <w:rPr>
                        <w:rFonts w:hint="default" w:ascii="Calibri" w:hAnsi="Calibri" w:eastAsia="宋体" w:cs="Times New Roman"/>
                        <w:sz w:val="32"/>
                        <w:szCs w:val="32"/>
                        <w:highlight w:val="none"/>
                      </w:rPr>
                      <w:fldChar w:fldCharType="end"/>
                    </w:r>
                    <w:r>
                      <w:rPr>
                        <w:rFonts w:hint="default" w:ascii="Calibri" w:hAnsi="Calibri" w:eastAsia="宋体" w:cs="Times New Roman"/>
                        <w:sz w:val="32"/>
                        <w:szCs w:val="32"/>
                        <w:highlight w:val="none"/>
                      </w:rPr>
                      <w:t xml:space="preserve"> —</w:t>
                    </w:r>
                  </w:p>
                </w:txbxContent>
              </v:textbox>
            </v:shape>
          </w:pict>
        </mc:Fallback>
      </mc:AlternateContent>
    </w: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SbC86AgAAc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CKUmwvOgIAAHEEAAAOAAAAAAAAAAEAIAAAAB8BAABkcnMvZTJvRG9j&#10;LnhtbFBLBQYAAAAABgAGAFkBAADLBQAAAAA=&#10;">
              <v:fill on="f" focussize="0,0"/>
              <v:stroke on="f" weight="0.5pt"/>
              <v:imagedata o:title=""/>
              <o:lock v:ext="edit" aspectratio="f"/>
              <v:textbox inset="0mm,0mm,0mm,0mm" style="mso-fit-shape-to-text:t;">
                <w:txbxContent>
                  <w:p>
                    <w:pPr>
                      <w:pStyle w:val="3"/>
                    </w:pPr>
                    <w:r>
                      <w:t xml:space="preserve"> </w:t>
                    </w:r>
                  </w:p>
                </w:txbxContent>
              </v:textbox>
            </v:shape>
          </w:pict>
        </mc:Fallback>
      </mc:AlternateContent>
    </w:r>
    <w:r>
      <w:rPr>
        <w:sz w:val="18"/>
      </w:rPr>
      <mc:AlternateContent>
        <mc:Choice Requires="wps">
          <w:drawing>
            <wp:anchor distT="0" distB="0" distL="114300" distR="114300" simplePos="0" relativeHeight="251666432" behindDoc="0" locked="0" layoutInCell="1" allowOverlap="1">
              <wp:simplePos x="0" y="0"/>
              <wp:positionH relativeFrom="margin">
                <wp:align>inside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N+E4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dYwVaRp6mEipKz1aod23&#10;Pc+9Kc6g6Uw3Kd7yTY1StsyHB+YwGigfjyfcYymlQUrTW5RUxn3513mMR8fgpaTBqOVU42VRIt9r&#10;dBKAYTDcYOwHQx/VncHsojmoJZm44IIczNIZ9RkvahVzwMU0R6achsG8C92440VysVqloKN19aHq&#10;LmAOLQtbvbM8polSebs6BkibFI8CdaqgU3GDSUw9619NHPU/9ynq8U+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5w34TgCAABxBAAADgAAAAAAAAABACAAAAAfAQAAZHJzL2Uyb0RvYy54&#10;bWxQSwUGAAAAAAYABgBZAQAAyQUAAAAA&#10;">
              <v:fill on="f" focussize="0,0"/>
              <v:stroke on="f" weight="0.5pt"/>
              <v:imagedata o:title=""/>
              <o:lock v:ext="edit" aspectratio="f"/>
              <v:textbox inset="0mm,0mm,0mm,0mm" style="mso-fit-shape-to-text:t;">
                <w:txbxContent>
                  <w:p>
                    <w:pPr>
                      <w:pStyle w:val="3"/>
                    </w:pPr>
                  </w:p>
                </w:txbxContent>
              </v:textbox>
            </v:shape>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0Ueg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IJ0Ueg5AgAAcQQAAA4AAAAAAAAAAQAgAAAAHwEAAGRycy9lMm9Eb2Mu&#10;eG1sUEsFBgAAAAAGAAYAWQEAAMoFAAAAAA==&#10;">
              <v:fill on="f" focussize="0,0"/>
              <v:stroke on="f" weight="0.5pt"/>
              <v:imagedata o:title=""/>
              <o:lock v:ext="edit" aspectratio="f"/>
              <v:textbox inset="0mm,0mm,0mm,0mm" style="mso-fit-shape-to-text:t;">
                <w:txbxContent>
                  <w:p>
                    <w:pPr>
                      <w:pStyle w:val="3"/>
                    </w:pP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3"/>
                    </w:pP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pPr>
                      <w:pStyle w:val="3"/>
                    </w:pP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kRMfazAEAAKcDAAAOAAAAAAAAAAEAIAAAAB4BAABkcnMvZTJv&#10;RG9jLnhtbFBLBQYAAAAABgAGAFkBAABcBQAAAAA=&#10;">
              <v:fill on="f" focussize="0,0"/>
              <v:stroke on="f"/>
              <v:imagedata o:title=""/>
              <o:lock v:ext="edit" aspectratio="f"/>
              <v:textbox inset="0mm,0mm,0mm,0mm" style="mso-fit-shape-to-text:t;">
                <w:txbxContent>
                  <w:p>
                    <w:pPr>
                      <w:pStyle w:val="3"/>
                    </w:pP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ZrAS80BAACn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1ZrAS80BAACnAwAADgAAAAAAAAABACAAAAAeAQAAZHJzL2Uy&#10;b0RvYy54bWxQSwUGAAAAAAYABgBZAQAAXQUAAAAA&#10;">
              <v:fill on="f" focussize="0,0"/>
              <v:stroke on="f"/>
              <v:imagedata o:title=""/>
              <o:lock v:ext="edit" aspectratio="f"/>
              <v:textbox inset="0mm,0mm,0mm,0mm" style="mso-fit-shape-to-text:t;">
                <w:txbxContent>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3tjc0BAACn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S3tjc0BAACnAwAADgAAAAAAAAABACAAAAAeAQAAZHJzL2Uy&#10;b0RvYy54bWxQSwUGAAAAAAYABgBZAQAAXQUAAAAA&#10;">
              <v:fill on="f" focussize="0,0"/>
              <v:stroke on="f"/>
              <v:imagedata o:title=""/>
              <o:lock v:ext="edit" aspectratio="f"/>
              <v:textbox inset="0mm,0mm,0mm,0mm" style="mso-fit-shape-to-text:t;">
                <w:txbxContent>
                  <w:p>
                    <w:pPr>
                      <w:pStyle w:val="3"/>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NPPqHM0BAACnAwAADgAAAAAAAAABACAAAAAeAQAAZHJzL2Uy&#10;b0RvYy54bWxQSwUGAAAAAAYABgBZAQAAXQUAAAAA&#10;">
              <v:fill on="f" focussize="0,0"/>
              <v:stroke on="f"/>
              <v:imagedata o:title=""/>
              <o:lock v:ext="edit" aspectratio="f"/>
              <v:textbox inset="0mm,0mm,0mm,0mm" style="mso-fit-shape-to-text:t;">
                <w:txbxContent>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240" w:lineRule="atLeast"/>
      <w:rPr>
        <w:rFonts w:ascii="Calibri" w:hAnsi="Calibri" w:eastAsia="宋体" w:cs="Times New Roman"/>
        <w:sz w:val="32"/>
        <w:szCs w:val="32"/>
        <w:highlight w:val="no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2MDcxNjc1MDBmNzg1OWQzMDQzNjA3NmQ5OWRmMDkifQ=="/>
  </w:docVars>
  <w:rsids>
    <w:rsidRoot w:val="000E55DE"/>
    <w:rsid w:val="000861F2"/>
    <w:rsid w:val="000E55DE"/>
    <w:rsid w:val="000F77D9"/>
    <w:rsid w:val="001166E5"/>
    <w:rsid w:val="001320CD"/>
    <w:rsid w:val="001628AE"/>
    <w:rsid w:val="002274AF"/>
    <w:rsid w:val="002467F3"/>
    <w:rsid w:val="00264322"/>
    <w:rsid w:val="002A6037"/>
    <w:rsid w:val="002C7F31"/>
    <w:rsid w:val="003165BC"/>
    <w:rsid w:val="00333C6B"/>
    <w:rsid w:val="00360988"/>
    <w:rsid w:val="003869CF"/>
    <w:rsid w:val="003A7A73"/>
    <w:rsid w:val="0040487A"/>
    <w:rsid w:val="004340F5"/>
    <w:rsid w:val="004A43F6"/>
    <w:rsid w:val="004C6A48"/>
    <w:rsid w:val="004D6CC0"/>
    <w:rsid w:val="004F468A"/>
    <w:rsid w:val="00500075"/>
    <w:rsid w:val="0055591C"/>
    <w:rsid w:val="005A6F0F"/>
    <w:rsid w:val="005B7BCE"/>
    <w:rsid w:val="00633C94"/>
    <w:rsid w:val="00664146"/>
    <w:rsid w:val="00715905"/>
    <w:rsid w:val="00717C02"/>
    <w:rsid w:val="00737853"/>
    <w:rsid w:val="007457FF"/>
    <w:rsid w:val="00746701"/>
    <w:rsid w:val="007747D3"/>
    <w:rsid w:val="007757B3"/>
    <w:rsid w:val="007879C2"/>
    <w:rsid w:val="007933EF"/>
    <w:rsid w:val="007C554A"/>
    <w:rsid w:val="007E2B20"/>
    <w:rsid w:val="00820F52"/>
    <w:rsid w:val="00865D34"/>
    <w:rsid w:val="00876711"/>
    <w:rsid w:val="00876CB2"/>
    <w:rsid w:val="00893311"/>
    <w:rsid w:val="00897D7F"/>
    <w:rsid w:val="008A3BB7"/>
    <w:rsid w:val="008D0927"/>
    <w:rsid w:val="008E5C60"/>
    <w:rsid w:val="009448DC"/>
    <w:rsid w:val="009A0EEE"/>
    <w:rsid w:val="009C07FC"/>
    <w:rsid w:val="009E3233"/>
    <w:rsid w:val="009F5078"/>
    <w:rsid w:val="00A14C39"/>
    <w:rsid w:val="00A45606"/>
    <w:rsid w:val="00A562FF"/>
    <w:rsid w:val="00A86D6F"/>
    <w:rsid w:val="00A97F17"/>
    <w:rsid w:val="00AD1D01"/>
    <w:rsid w:val="00AF3883"/>
    <w:rsid w:val="00B42ACD"/>
    <w:rsid w:val="00B56DDF"/>
    <w:rsid w:val="00BC2470"/>
    <w:rsid w:val="00BD54F2"/>
    <w:rsid w:val="00BE145E"/>
    <w:rsid w:val="00BF46BF"/>
    <w:rsid w:val="00BF7211"/>
    <w:rsid w:val="00C81412"/>
    <w:rsid w:val="00CD56B4"/>
    <w:rsid w:val="00D06077"/>
    <w:rsid w:val="00D25733"/>
    <w:rsid w:val="00D45BA6"/>
    <w:rsid w:val="00D70578"/>
    <w:rsid w:val="00D7583A"/>
    <w:rsid w:val="00D94C2C"/>
    <w:rsid w:val="00DA64E9"/>
    <w:rsid w:val="00DA76F7"/>
    <w:rsid w:val="00DD2718"/>
    <w:rsid w:val="00E264D3"/>
    <w:rsid w:val="00E35F09"/>
    <w:rsid w:val="00E63B49"/>
    <w:rsid w:val="00EA0D3C"/>
    <w:rsid w:val="00EB2535"/>
    <w:rsid w:val="00F20E9D"/>
    <w:rsid w:val="00F210AC"/>
    <w:rsid w:val="00F54E5B"/>
    <w:rsid w:val="00F57B7F"/>
    <w:rsid w:val="00FA2172"/>
    <w:rsid w:val="00FB4E8F"/>
    <w:rsid w:val="00FD5029"/>
    <w:rsid w:val="01D6466C"/>
    <w:rsid w:val="023D2D34"/>
    <w:rsid w:val="0CEE22C4"/>
    <w:rsid w:val="0DDB3974"/>
    <w:rsid w:val="0FF064EC"/>
    <w:rsid w:val="18ED14A8"/>
    <w:rsid w:val="22DD3DB4"/>
    <w:rsid w:val="259063FF"/>
    <w:rsid w:val="31FD0434"/>
    <w:rsid w:val="347073F7"/>
    <w:rsid w:val="39AC3C4C"/>
    <w:rsid w:val="3B2530F3"/>
    <w:rsid w:val="402E695E"/>
    <w:rsid w:val="4842330C"/>
    <w:rsid w:val="56A17EE5"/>
    <w:rsid w:val="5A08602B"/>
    <w:rsid w:val="67881D7C"/>
    <w:rsid w:val="6A9139E6"/>
    <w:rsid w:val="79BA4CCB"/>
    <w:rsid w:val="7BB901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2">
    <w:name w:val="heading 4"/>
    <w:basedOn w:val="1"/>
    <w:next w:val="1"/>
    <w:qFormat/>
    <w:uiPriority w:val="99"/>
    <w:pPr>
      <w:ind w:firstLine="643" w:firstLineChars="200"/>
      <w:outlineLvl w:val="3"/>
    </w:pPr>
    <w:rPr>
      <w:rFonts w:ascii="Cambria" w:hAnsi="Cambria"/>
      <w:b/>
      <w:bCs/>
      <w:szCs w:val="32"/>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kern w:val="0"/>
      <w:sz w:val="24"/>
      <w:szCs w:val="24"/>
    </w:rPr>
  </w:style>
  <w:style w:type="character" w:styleId="8">
    <w:name w:val="Strong"/>
    <w:basedOn w:val="7"/>
    <w:qFormat/>
    <w:uiPriority w:val="22"/>
    <w:rPr>
      <w:b/>
      <w:bCs/>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071E11-B571-4FD8-AC47-BD5FB1B79FAE}">
  <ds:schemaRefs/>
</ds:datastoreItem>
</file>

<file path=docProps/app.xml><?xml version="1.0" encoding="utf-8"?>
<Properties xmlns="http://schemas.openxmlformats.org/officeDocument/2006/extended-properties" xmlns:vt="http://schemas.openxmlformats.org/officeDocument/2006/docPropsVTypes">
  <Template>Normal</Template>
  <Pages>15</Pages>
  <Words>7732</Words>
  <Characters>7785</Characters>
  <Lines>55</Lines>
  <Paragraphs>15</Paragraphs>
  <TotalTime>21</TotalTime>
  <ScaleCrop>false</ScaleCrop>
  <LinksUpToDate>false</LinksUpToDate>
  <CharactersWithSpaces>7812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2023-03-27T14:11:00Z</dcterms:created>
  <dc:creator>d1</dc:creator>
  <cp:lastModifiedBy>dzbdzs</cp:lastModifiedBy>
  <dcterms:modified xsi:type="dcterms:W3CDTF">2023-04-11T03:14:46Z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537B24871CE448C4BB253F5B43CE4836</vt:lpwstr>
  </property>
</Properties>
</file>