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both"/>
        <w:textAlignment w:val="auto"/>
        <w:rPr>
          <w:rFonts w:hint="eastAsia" w:ascii="方正小标宋简体" w:hAnsi="方正小标宋简体" w:eastAsia="方正小标宋简体" w:cs="方正小标宋简体"/>
          <w:b w:val="0"/>
          <w:bCs/>
          <w:color w:val="000000"/>
          <w:sz w:val="44"/>
          <w:szCs w:val="44"/>
        </w:rPr>
      </w:pPr>
    </w:p>
    <w:p>
      <w:pPr>
        <w:rPr>
          <w:rFonts w:hint="eastAsia" w:ascii="方正小标宋简体" w:hAnsi="方正小标宋简体" w:eastAsia="方正小标宋简体" w:cs="方正小标宋简体"/>
          <w:b w:val="0"/>
          <w:bCs/>
          <w:color w:val="000000"/>
          <w:sz w:val="44"/>
          <w:szCs w:val="44"/>
        </w:rPr>
      </w:pPr>
    </w:p>
    <w:p>
      <w:pPr>
        <w:pStyle w:val="2"/>
        <w:rPr>
          <w:rFonts w:hint="eastAsia"/>
        </w:rPr>
      </w:pPr>
    </w:p>
    <w:p>
      <w:pPr>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办通字〔202</w:t>
      </w:r>
      <w:r>
        <w:rPr>
          <w:rFonts w:hint="eastAsia" w:ascii="仿宋_GB2312" w:hAnsi="仿宋_GB2312" w:eastAsia="仿宋_GB2312" w:cs="仿宋_GB2312"/>
          <w:bCs/>
          <w:color w:val="000000"/>
          <w:kern w:val="0"/>
          <w:sz w:val="32"/>
          <w:szCs w:val="32"/>
          <w:lang w:val="en-US" w:eastAsia="zh-CN"/>
        </w:rPr>
        <w:t>2</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val="en-US" w:eastAsia="zh-CN"/>
        </w:rPr>
        <w:t>36</w:t>
      </w:r>
      <w:r>
        <w:rPr>
          <w:rFonts w:hint="eastAsia" w:ascii="仿宋_GB2312" w:hAnsi="仿宋_GB2312" w:eastAsia="仿宋_GB2312" w:cs="仿宋_GB2312"/>
          <w:bCs/>
          <w:color w:val="000000"/>
          <w:kern w:val="0"/>
          <w:sz w:val="32"/>
          <w:szCs w:val="32"/>
        </w:rPr>
        <w:t>号</w:t>
      </w:r>
    </w:p>
    <w:p>
      <w:pPr>
        <w:pStyle w:val="2"/>
        <w:keepNext w:val="0"/>
        <w:keepLines w:val="0"/>
        <w:pageBreakBefore w:val="0"/>
        <w:kinsoku/>
        <w:wordWrap/>
        <w:overflowPunct/>
        <w:topLinePunct w:val="0"/>
        <w:autoSpaceDE/>
        <w:autoSpaceDN/>
        <w:bidi w:val="0"/>
        <w:spacing w:line="560" w:lineRule="exact"/>
        <w:ind w:firstLine="422" w:firstLineChars="200"/>
        <w:textAlignment w:val="auto"/>
        <w:rPr>
          <w:rFonts w:hint="eastAsia"/>
        </w:rPr>
      </w:pPr>
    </w:p>
    <w:p>
      <w:pPr>
        <w:keepNext w:val="0"/>
        <w:keepLines w:val="0"/>
        <w:pageBreakBefore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承德应用技术职业学院</w:t>
      </w:r>
      <w:r>
        <w:rPr>
          <w:rFonts w:hint="eastAsia" w:ascii="Times New Roman" w:hAnsi="Times New Roman" w:eastAsia="方正小标宋简体" w:cs="Times New Roman"/>
          <w:sz w:val="44"/>
          <w:szCs w:val="44"/>
          <w:lang w:val="en-US" w:eastAsia="zh-CN"/>
        </w:rPr>
        <w:t>党政办公室</w:t>
      </w:r>
    </w:p>
    <w:p>
      <w:pPr>
        <w:keepNext w:val="0"/>
        <w:keepLines w:val="0"/>
        <w:pageBreakBefore w:val="0"/>
        <w:kinsoku/>
        <w:wordWrap/>
        <w:overflowPunct/>
        <w:topLinePunct w:val="0"/>
        <w:autoSpaceDE/>
        <w:autoSpaceDN/>
        <w:bidi w:val="0"/>
        <w:adjustRightInd/>
        <w:snapToGrid w:val="0"/>
        <w:spacing w:line="560" w:lineRule="exact"/>
        <w:ind w:firstLine="880" w:firstLineChars="200"/>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关于印发《承德应用技术职业学院学术委员会章程》的通知</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w w:val="105"/>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0"/>
        <w:rPr>
          <w:rFonts w:hint="eastAsia" w:ascii="仿宋_GB2312" w:hAnsi="仿宋_GB2312" w:eastAsia="仿宋_GB2312" w:cs="仿宋_GB2312"/>
          <w:bCs/>
          <w:w w:val="105"/>
          <w:sz w:val="32"/>
          <w:szCs w:val="32"/>
        </w:rPr>
      </w:pPr>
      <w:r>
        <w:rPr>
          <w:rFonts w:hint="eastAsia" w:ascii="仿宋_GB2312" w:hAnsi="仿宋_GB2312" w:eastAsia="仿宋_GB2312" w:cs="仿宋_GB2312"/>
          <w:bCs/>
          <w:w w:val="105"/>
          <w:sz w:val="32"/>
          <w:szCs w:val="32"/>
        </w:rPr>
        <w:t>各单位：</w:t>
      </w:r>
    </w:p>
    <w:p>
      <w:pPr>
        <w:keepNext w:val="0"/>
        <w:keepLines w:val="0"/>
        <w:pageBreakBefore w:val="0"/>
        <w:widowControl w:val="0"/>
        <w:kinsoku/>
        <w:wordWrap/>
        <w:overflowPunct/>
        <w:topLinePunct w:val="0"/>
        <w:autoSpaceDE/>
        <w:autoSpaceDN/>
        <w:bidi w:val="0"/>
        <w:adjustRightInd/>
        <w:snapToGrid w:val="0"/>
        <w:spacing w:line="560" w:lineRule="exact"/>
        <w:ind w:firstLine="672" w:firstLineChars="200"/>
        <w:jc w:val="left"/>
        <w:textAlignment w:val="auto"/>
        <w:outlineLvl w:val="0"/>
        <w:rPr>
          <w:rFonts w:hint="eastAsia" w:ascii="仿宋_GB2312" w:hAnsi="仿宋_GB2312" w:eastAsia="仿宋_GB2312" w:cs="仿宋_GB2312"/>
          <w:bCs/>
          <w:w w:val="105"/>
          <w:sz w:val="32"/>
          <w:szCs w:val="32"/>
        </w:rPr>
      </w:pPr>
      <w:r>
        <w:rPr>
          <w:rFonts w:hint="eastAsia" w:ascii="仿宋_GB2312" w:hAnsi="仿宋_GB2312" w:eastAsia="仿宋_GB2312" w:cs="仿宋_GB2312"/>
          <w:bCs/>
          <w:w w:val="105"/>
          <w:sz w:val="32"/>
          <w:szCs w:val="32"/>
        </w:rPr>
        <w:t>《承德应用技术职业学院学术委员会章程》经</w:t>
      </w:r>
      <w:r>
        <w:rPr>
          <w:rFonts w:hint="eastAsia" w:ascii="仿宋_GB2312" w:hAnsi="仿宋_GB2312" w:eastAsia="仿宋_GB2312" w:cs="仿宋_GB2312"/>
          <w:bCs/>
          <w:w w:val="105"/>
          <w:sz w:val="32"/>
          <w:szCs w:val="32"/>
          <w:lang w:val="en-US" w:eastAsia="zh-CN"/>
        </w:rPr>
        <w:t>第48次党委会</w:t>
      </w:r>
      <w:r>
        <w:rPr>
          <w:rFonts w:hint="eastAsia" w:ascii="仿宋_GB2312" w:hAnsi="仿宋_GB2312" w:eastAsia="仿宋_GB2312" w:cs="仿宋_GB2312"/>
          <w:bCs/>
          <w:w w:val="105"/>
          <w:sz w:val="32"/>
          <w:szCs w:val="32"/>
        </w:rPr>
        <w:t>审议通过，现印发给你们，请遵照执行。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color w:val="000000"/>
          <w:kern w:val="0"/>
          <w:sz w:val="32"/>
          <w:szCs w:val="32"/>
        </w:rPr>
      </w:pPr>
      <w:bookmarkStart w:id="0" w:name="_Toc365134279"/>
      <w:r>
        <w:rPr>
          <w:rFonts w:hint="eastAsia" w:ascii="仿宋_GB2312" w:hAnsi="仿宋_GB2312" w:eastAsia="仿宋_GB2312" w:cs="仿宋_GB2312"/>
          <w:bCs/>
          <w:color w:val="000000"/>
          <w:kern w:val="0"/>
          <w:sz w:val="32"/>
          <w:szCs w:val="32"/>
        </w:rPr>
        <w:t>承德应用技术职业学院党政办公室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方正小标宋简体" w:hAnsi="方正小标宋简体" w:eastAsia="方正小标宋简体" w:cs="方正小标宋简体"/>
          <w:b w:val="0"/>
          <w:bCs w:val="0"/>
          <w:sz w:val="44"/>
          <w:szCs w:val="44"/>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4" w:left="1588" w:header="851" w:footer="992" w:gutter="0"/>
          <w:pgNumType w:fmt="decimal" w:start="1"/>
          <w:cols w:space="720" w:num="1"/>
          <w:titlePg/>
          <w:docGrid w:type="lines" w:linePitch="312" w:charSpace="0"/>
        </w:sectPr>
      </w:pPr>
      <w:r>
        <w:rPr>
          <w:rFonts w:hint="eastAsia" w:ascii="仿宋_GB2312" w:hAnsi="仿宋_GB2312" w:eastAsia="仿宋_GB2312" w:cs="仿宋_GB2312"/>
          <w:bCs/>
          <w:color w:val="000000"/>
          <w:kern w:val="0"/>
          <w:sz w:val="32"/>
          <w:szCs w:val="32"/>
          <w:lang w:val="en-US" w:eastAsia="zh-CN"/>
        </w:rPr>
        <w:t xml:space="preserve">                       </w:t>
      </w:r>
      <w:r>
        <w:rPr>
          <w:rFonts w:hint="eastAsia" w:ascii="仿宋_GB2312" w:hAnsi="仿宋_GB2312" w:eastAsia="仿宋_GB2312" w:cs="仿宋_GB2312"/>
          <w:bCs/>
          <w:color w:val="000000"/>
          <w:kern w:val="0"/>
          <w:sz w:val="32"/>
          <w:szCs w:val="32"/>
          <w:highlight w:val="none"/>
        </w:rPr>
        <w:t>202</w:t>
      </w:r>
      <w:r>
        <w:rPr>
          <w:rFonts w:hint="eastAsia" w:ascii="仿宋_GB2312" w:hAnsi="仿宋_GB2312" w:eastAsia="仿宋_GB2312" w:cs="仿宋_GB2312"/>
          <w:bCs/>
          <w:color w:val="000000"/>
          <w:kern w:val="0"/>
          <w:sz w:val="32"/>
          <w:szCs w:val="32"/>
          <w:highlight w:val="none"/>
          <w:lang w:val="en-US" w:eastAsia="zh-CN"/>
        </w:rPr>
        <w:t>2</w:t>
      </w:r>
      <w:r>
        <w:rPr>
          <w:rFonts w:hint="eastAsia" w:ascii="仿宋_GB2312" w:hAnsi="仿宋_GB2312" w:eastAsia="仿宋_GB2312" w:cs="仿宋_GB2312"/>
          <w:bCs/>
          <w:color w:val="000000"/>
          <w:kern w:val="0"/>
          <w:sz w:val="32"/>
          <w:szCs w:val="32"/>
          <w:highlight w:val="none"/>
        </w:rPr>
        <w:t>年</w:t>
      </w:r>
      <w:r>
        <w:rPr>
          <w:rFonts w:hint="eastAsia" w:ascii="仿宋_GB2312" w:hAnsi="仿宋_GB2312" w:eastAsia="仿宋_GB2312" w:cs="仿宋_GB2312"/>
          <w:bCs/>
          <w:color w:val="000000"/>
          <w:kern w:val="0"/>
          <w:sz w:val="32"/>
          <w:szCs w:val="32"/>
          <w:highlight w:val="none"/>
          <w:lang w:val="en-US" w:eastAsia="zh-CN"/>
        </w:rPr>
        <w:t>12</w:t>
      </w:r>
      <w:r>
        <w:rPr>
          <w:rFonts w:hint="eastAsia" w:ascii="仿宋_GB2312" w:hAnsi="仿宋_GB2312" w:eastAsia="仿宋_GB2312" w:cs="仿宋_GB2312"/>
          <w:bCs/>
          <w:color w:val="000000"/>
          <w:kern w:val="0"/>
          <w:sz w:val="32"/>
          <w:szCs w:val="32"/>
          <w:highlight w:val="none"/>
        </w:rPr>
        <w:t>月</w:t>
      </w:r>
      <w:r>
        <w:rPr>
          <w:rFonts w:hint="eastAsia" w:ascii="仿宋_GB2312" w:hAnsi="仿宋_GB2312" w:eastAsia="仿宋_GB2312" w:cs="仿宋_GB2312"/>
          <w:bCs/>
          <w:color w:val="000000"/>
          <w:kern w:val="0"/>
          <w:sz w:val="32"/>
          <w:szCs w:val="32"/>
          <w:highlight w:val="none"/>
          <w:lang w:val="en-US" w:eastAsia="zh-CN"/>
        </w:rPr>
        <w:t>11日</w:t>
      </w:r>
    </w:p>
    <w:bookmarkEnd w:id="0"/>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880" w:firstLineChars="200"/>
        <w:jc w:val="both"/>
        <w:textAlignment w:val="auto"/>
        <w:rPr>
          <w:rFonts w:hint="eastAsia" w:ascii="方正小标宋简体" w:hAnsi="方正小标宋简体" w:eastAsia="方正小标宋简体" w:cs="方正小标宋简体"/>
          <w:b w:val="0"/>
          <w:bCs/>
          <w:color w:val="000000"/>
          <w:sz w:val="44"/>
          <w:szCs w:val="44"/>
        </w:rPr>
      </w:pPr>
      <w:bookmarkStart w:id="1" w:name="_GoBack"/>
      <w:bookmarkEnd w:id="1"/>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承德应用技术职业学院</w:t>
      </w:r>
    </w:p>
    <w:p>
      <w:pPr>
        <w:keepNext w:val="0"/>
        <w:keepLines w:val="0"/>
        <w:pageBreakBefore w:val="0"/>
        <w:kinsoku/>
        <w:wordWrap/>
        <w:overflowPunct/>
        <w:topLinePunct w:val="0"/>
        <w:autoSpaceDE/>
        <w:autoSpaceDN/>
        <w:bidi w:val="0"/>
        <w:adjustRightInd/>
        <w:snapToGrid w:val="0"/>
        <w:spacing w:line="560" w:lineRule="exact"/>
        <w:jc w:val="center"/>
        <w:textAlignment w:val="auto"/>
        <w:outlineLvl w:val="0"/>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学术委员会章程</w:t>
      </w:r>
    </w:p>
    <w:p>
      <w:pPr>
        <w:pStyle w:val="2"/>
        <w:keepNext w:val="0"/>
        <w:keepLines w:val="0"/>
        <w:pageBreakBefore w:val="0"/>
        <w:kinsoku/>
        <w:wordWrap/>
        <w:overflowPunct/>
        <w:topLinePunct w:val="0"/>
        <w:autoSpaceDE/>
        <w:autoSpaceDN/>
        <w:bidi w:val="0"/>
        <w:spacing w:line="560" w:lineRule="exact"/>
        <w:ind w:firstLine="422" w:firstLineChars="200"/>
        <w:textAlignment w:val="auto"/>
        <w:rPr>
          <w:rFonts w:hint="eastAsia"/>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承德应用技术职业学院学术委员会在党的领导下,坚持社会主义办学方向，坚持立德树人根本任务，坚持发扬学术民主和依法依规决策相统一，不断开创学</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事业发展的新局面。</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center"/>
        <w:textAlignment w:val="auto"/>
        <w:rPr>
          <w:rFonts w:hint="eastAsia" w:ascii="仿宋_GB2312" w:hAnsi="仿宋_GB2312" w:eastAsia="仿宋_GB2312" w:cs="仿宋_GB2312"/>
          <w:b/>
          <w:color w:val="000000"/>
          <w:sz w:val="32"/>
          <w:szCs w:val="32"/>
        </w:rPr>
      </w:pPr>
      <w:r>
        <w:rPr>
          <w:rFonts w:hint="eastAsia" w:ascii="黑体" w:hAnsi="黑体" w:eastAsia="黑体" w:cs="黑体"/>
          <w:b/>
          <w:color w:val="000000"/>
          <w:sz w:val="32"/>
          <w:szCs w:val="32"/>
        </w:rPr>
        <w:t>第一章 总则</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xml:space="preserve"> 为加强学校学术委员会建设，规范学术委员会的组成、职责与运行规则，保障学术委员会在教学、科研等学术事务中有效发挥作用，不断提高学校人才培养、科学研究和学术发展水平，根据《中华人民共和国高等教育法》、教育部《高等学校学术委员会规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承德应用技术职业学院章程</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的相关规定，结合学校实际制定本章程。</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学术委员会是学校最高学术机构，统筹行使对学校学术事务的决策、审议、评定、咨询权，主要负责开展学术评审、学术咨询、学术纠纷裁决和组织学术交流活动等。</w:t>
      </w:r>
    </w:p>
    <w:p>
      <w:pPr>
        <w:pStyle w:val="5"/>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学术委员会坚持尊重学术自由，发扬学术民主，遵循学术规律，鼓励学术创新，维护学术独立等原则开展工作，公平、公正、公开地履行职责，</w:t>
      </w:r>
      <w:r>
        <w:rPr>
          <w:rFonts w:hint="eastAsia" w:ascii="仿宋_GB2312" w:hAnsi="仿宋_GB2312" w:eastAsia="仿宋_GB2312" w:cs="仿宋_GB2312"/>
          <w:sz w:val="32"/>
          <w:szCs w:val="32"/>
        </w:rPr>
        <w:t>保障教师和学生在教学、科研和学术事务管理中充分发挥主体作用，促进</w:t>
      </w:r>
      <w:r>
        <w:rPr>
          <w:rFonts w:hint="eastAsia" w:ascii="仿宋_GB2312" w:hAnsi="仿宋_GB2312" w:eastAsia="仿宋_GB2312" w:cs="仿宋_GB2312"/>
          <w:sz w:val="32"/>
          <w:szCs w:val="32"/>
          <w:lang w:val="en-US" w:eastAsia="zh-CN"/>
        </w:rPr>
        <w:t>学院</w:t>
      </w:r>
      <w:r>
        <w:rPr>
          <w:rFonts w:hint="eastAsia" w:ascii="仿宋_GB2312" w:hAnsi="仿宋_GB2312" w:eastAsia="仿宋_GB2312" w:cs="仿宋_GB2312"/>
          <w:sz w:val="32"/>
          <w:szCs w:val="32"/>
        </w:rPr>
        <w:t>科学发展。</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第二章 组成规则</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color w:val="000000"/>
          <w:sz w:val="32"/>
          <w:szCs w:val="32"/>
        </w:rPr>
        <w:t xml:space="preserve"> 学术委员会委员</w:t>
      </w:r>
      <w:r>
        <w:rPr>
          <w:rFonts w:hint="eastAsia" w:ascii="仿宋_GB2312" w:hAnsi="仿宋_GB2312" w:eastAsia="仿宋_GB2312" w:cs="仿宋_GB2312"/>
          <w:color w:val="000000"/>
          <w:sz w:val="32"/>
          <w:szCs w:val="32"/>
          <w:lang w:val="en-US" w:eastAsia="zh-CN"/>
        </w:rPr>
        <w:t>的组成应覆盖学院各主要</w:t>
      </w:r>
      <w:r>
        <w:rPr>
          <w:rFonts w:hint="eastAsia" w:ascii="仿宋_GB2312" w:hAnsi="仿宋_GB2312" w:eastAsia="仿宋_GB2312" w:cs="仿宋_GB2312"/>
          <w:color w:val="000000"/>
          <w:sz w:val="32"/>
          <w:szCs w:val="32"/>
        </w:rPr>
        <w:t>专业群，</w:t>
      </w:r>
      <w:r>
        <w:rPr>
          <w:rFonts w:hint="eastAsia" w:ascii="仿宋_GB2312" w:hAnsi="仿宋_GB2312" w:eastAsia="仿宋_GB2312" w:cs="仿宋_GB2312"/>
          <w:color w:val="000000"/>
          <w:sz w:val="32"/>
          <w:szCs w:val="32"/>
          <w:lang w:val="en-US" w:eastAsia="zh-CN"/>
        </w:rPr>
        <w:t>充分体现</w:t>
      </w:r>
      <w:r>
        <w:rPr>
          <w:rFonts w:hint="eastAsia" w:ascii="仿宋_GB2312" w:hAnsi="仿宋_GB2312" w:eastAsia="仿宋_GB2312" w:cs="仿宋_GB2312"/>
          <w:color w:val="000000"/>
          <w:sz w:val="32"/>
          <w:szCs w:val="32"/>
        </w:rPr>
        <w:t>代表性和公平性。</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学术委员分为正式委员和特邀委员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正式委员19人，由学院</w:t>
      </w:r>
      <w:r>
        <w:rPr>
          <w:rFonts w:hint="eastAsia" w:ascii="仿宋_GB2312" w:hAnsi="仿宋_GB2312" w:eastAsia="仿宋_GB2312" w:cs="仿宋_GB2312"/>
          <w:color w:val="000000"/>
          <w:sz w:val="32"/>
          <w:szCs w:val="32"/>
        </w:rPr>
        <w:t>教学、科研相关领域</w:t>
      </w:r>
      <w:r>
        <w:rPr>
          <w:rFonts w:hint="eastAsia" w:ascii="仿宋_GB2312" w:hAnsi="仿宋_GB2312" w:eastAsia="仿宋_GB2312" w:cs="仿宋_GB2312"/>
          <w:color w:val="000000"/>
          <w:sz w:val="32"/>
          <w:szCs w:val="32"/>
          <w:lang w:val="en-US" w:eastAsia="zh-CN"/>
        </w:rPr>
        <w:t>具有</w:t>
      </w:r>
      <w:r>
        <w:rPr>
          <w:rFonts w:hint="eastAsia" w:ascii="仿宋_GB2312" w:hAnsi="仿宋_GB2312" w:eastAsia="仿宋_GB2312" w:cs="仿宋_GB2312"/>
          <w:sz w:val="32"/>
          <w:szCs w:val="32"/>
        </w:rPr>
        <w:t>高级专业技术职务</w:t>
      </w:r>
      <w:r>
        <w:rPr>
          <w:rFonts w:hint="eastAsia" w:ascii="仿宋_GB2312" w:hAnsi="仿宋_GB2312" w:eastAsia="仿宋_GB2312" w:cs="仿宋_GB2312"/>
          <w:sz w:val="32"/>
          <w:szCs w:val="32"/>
          <w:lang w:val="en-US" w:eastAsia="zh-CN"/>
        </w:rPr>
        <w:t>人员组成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color w:val="000000"/>
          <w:sz w:val="32"/>
          <w:szCs w:val="32"/>
          <w:u w:val="none"/>
          <w:lang w:val="en-US" w:eastAsia="zh-CN"/>
        </w:rPr>
        <w:t>应</w:t>
      </w:r>
      <w:r>
        <w:rPr>
          <w:rFonts w:hint="eastAsia" w:ascii="仿宋_GB2312" w:hAnsi="仿宋_GB2312" w:eastAsia="仿宋_GB2312" w:cs="仿宋_GB2312"/>
          <w:color w:val="000000"/>
          <w:sz w:val="32"/>
          <w:szCs w:val="32"/>
          <w:u w:val="none"/>
        </w:rPr>
        <w:t>有一定比例的青年教师。</w:t>
      </w:r>
      <w:r>
        <w:rPr>
          <w:rFonts w:hint="eastAsia" w:ascii="仿宋_GB2312" w:hAnsi="仿宋_GB2312" w:eastAsia="仿宋_GB2312" w:cs="仿宋_GB2312"/>
          <w:color w:val="000000"/>
          <w:sz w:val="32"/>
          <w:szCs w:val="32"/>
        </w:rPr>
        <w:t>需要时可适当增补，但总数</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rPr>
        <w:t>为奇数。增补学术委员由院长、学术委员会主任或者1/3以上学术委员会委员提名，经学术委员会全体会议表决通过。</w:t>
      </w:r>
    </w:p>
    <w:p>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正式委员中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担任学</w:t>
      </w:r>
      <w:r>
        <w:rPr>
          <w:rFonts w:hint="eastAsia" w:ascii="仿宋_GB2312" w:hAnsi="仿宋_GB2312" w:eastAsia="仿宋_GB2312" w:cs="仿宋_GB2312"/>
          <w:color w:val="000000"/>
          <w:sz w:val="32"/>
          <w:szCs w:val="32"/>
          <w:lang w:eastAsia="zh-CN"/>
        </w:rPr>
        <w:t>院</w:t>
      </w:r>
      <w:r>
        <w:rPr>
          <w:rFonts w:hint="eastAsia" w:ascii="仿宋_GB2312" w:hAnsi="仿宋_GB2312" w:eastAsia="仿宋_GB2312" w:cs="仿宋_GB2312"/>
          <w:color w:val="000000"/>
          <w:sz w:val="32"/>
          <w:szCs w:val="32"/>
        </w:rPr>
        <w:t>及职能部门党政领导职务的委员，不超过委员总人数的1/4；不担任党政领导职务及院系主要负责人的</w:t>
      </w:r>
      <w:r>
        <w:rPr>
          <w:rFonts w:hint="eastAsia" w:ascii="仿宋_GB2312" w:hAnsi="仿宋_GB2312" w:eastAsia="仿宋_GB2312" w:cs="仿宋_GB2312"/>
          <w:color w:val="000000"/>
          <w:sz w:val="32"/>
          <w:szCs w:val="32"/>
          <w:lang w:val="en-US" w:eastAsia="zh-CN"/>
        </w:rPr>
        <w:t>专任教师</w:t>
      </w:r>
      <w:r>
        <w:rPr>
          <w:rFonts w:hint="eastAsia" w:ascii="仿宋_GB2312" w:hAnsi="仿宋_GB2312" w:eastAsia="仿宋_GB2312" w:cs="仿宋_GB2312"/>
          <w:color w:val="000000"/>
          <w:sz w:val="32"/>
          <w:szCs w:val="32"/>
        </w:rPr>
        <w:t>，不少于委员总人数的1/2。分管教学、科研工作的院领导及</w:t>
      </w:r>
      <w:r>
        <w:rPr>
          <w:rFonts w:hint="eastAsia" w:ascii="仿宋_GB2312" w:hAnsi="仿宋_GB2312" w:eastAsia="仿宋_GB2312" w:cs="仿宋_GB2312"/>
          <w:color w:val="000000"/>
          <w:sz w:val="32"/>
          <w:szCs w:val="32"/>
          <w:lang w:val="en-US" w:eastAsia="zh-CN"/>
        </w:rPr>
        <w:t>教务、科研等相关</w:t>
      </w:r>
      <w:r>
        <w:rPr>
          <w:rFonts w:hint="eastAsia" w:ascii="仿宋_GB2312" w:hAnsi="仿宋_GB2312" w:eastAsia="仿宋_GB2312" w:cs="仿宋_GB2312"/>
          <w:color w:val="000000"/>
          <w:sz w:val="32"/>
          <w:szCs w:val="32"/>
        </w:rPr>
        <w:t>部门负责人为委员人选的依职务替代原则更换。正式委员经自下而上的民主推荐、公开公正的遴选方式产生候选人，由民主选举等程序确定，充分反</w:t>
      </w:r>
      <w:r>
        <w:rPr>
          <w:rFonts w:hint="eastAsia" w:ascii="仿宋_GB2312" w:hAnsi="仿宋_GB2312" w:eastAsia="仿宋_GB2312" w:cs="仿宋_GB2312"/>
          <w:color w:val="000000"/>
          <w:sz w:val="32"/>
          <w:szCs w:val="32"/>
          <w:lang w:eastAsia="zh-CN"/>
        </w:rPr>
        <w:t>映</w:t>
      </w:r>
      <w:r>
        <w:rPr>
          <w:rFonts w:hint="eastAsia" w:ascii="仿宋_GB2312" w:hAnsi="仿宋_GB2312" w:eastAsia="仿宋_GB2312" w:cs="仿宋_GB2312"/>
          <w:color w:val="000000"/>
          <w:sz w:val="32"/>
          <w:szCs w:val="32"/>
        </w:rPr>
        <w:t>基层学术组织和广大教师的意见。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学</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可以根据需要聘请</w:t>
      </w:r>
      <w:r>
        <w:rPr>
          <w:rFonts w:hint="eastAsia" w:ascii="仿宋_GB2312" w:hAnsi="仿宋_GB2312" w:eastAsia="仿宋_GB2312" w:cs="仿宋_GB2312"/>
          <w:color w:val="auto"/>
          <w:sz w:val="32"/>
          <w:szCs w:val="32"/>
          <w:u w:val="none"/>
        </w:rPr>
        <w:t>具有正高级专业技术职务</w:t>
      </w:r>
      <w:r>
        <w:rPr>
          <w:rFonts w:hint="eastAsia" w:ascii="仿宋_GB2312" w:hAnsi="仿宋_GB2312" w:eastAsia="仿宋_GB2312" w:cs="仿宋_GB2312"/>
          <w:color w:val="auto"/>
          <w:sz w:val="32"/>
          <w:szCs w:val="32"/>
          <w:u w:val="none"/>
          <w:lang w:val="en-US" w:eastAsia="zh-CN"/>
        </w:rPr>
        <w:t>或在相关领域具有专业影响力</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sz w:val="32"/>
          <w:szCs w:val="32"/>
        </w:rPr>
        <w:t>校外专家及有关方面代表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担任专门学术事项的特邀委员，</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院</w:t>
      </w:r>
      <w:r>
        <w:rPr>
          <w:rFonts w:hint="eastAsia" w:ascii="仿宋_GB2312" w:hAnsi="仿宋_GB2312" w:eastAsia="仿宋_GB2312" w:cs="仿宋_GB2312"/>
          <w:color w:val="000000"/>
          <w:sz w:val="32"/>
          <w:szCs w:val="32"/>
        </w:rPr>
        <w:t>长、学术委员会主任或者1/3以上学术委员会委员提名，特邀委员需经学术委员会全体会议表决通过。</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color w:val="000000"/>
          <w:sz w:val="32"/>
          <w:szCs w:val="32"/>
        </w:rPr>
        <w:t xml:space="preserve"> 正式委员和特邀委员除符合上述条件外，还应具备以下条件：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（一）思想素质好，道德品质优良，为人正直，学风端正，治学严谨，办事公正，坚持原则；</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（二）有较高的学术造诣，熟悉本专业领域的学术状况，在专业建设、师资队伍建设、实训基地建设、课程及教材建设和科学研究等方面经验丰富,成果显著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业绩突出；</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（三）关心</w:t>
      </w:r>
      <w:r>
        <w:rPr>
          <w:rFonts w:hint="eastAsia" w:ascii="仿宋_GB2312" w:hAnsi="仿宋_GB2312" w:eastAsia="仿宋_GB2312" w:cs="仿宋_GB2312"/>
          <w:color w:val="auto"/>
          <w:sz w:val="32"/>
          <w:szCs w:val="32"/>
        </w:rPr>
        <w:t>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建设和发展，有参与学术议事的热情和能力，积极维护学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的荣誉和利益；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（四）身体健康，能够正常履行学术委员会委员职责。</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color w:val="auto"/>
          <w:sz w:val="32"/>
          <w:szCs w:val="32"/>
        </w:rPr>
        <w:t xml:space="preserve"> 学术委员由</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长</w:t>
      </w:r>
      <w:r>
        <w:rPr>
          <w:rFonts w:hint="eastAsia" w:ascii="仿宋_GB2312" w:hAnsi="仿宋_GB2312" w:eastAsia="仿宋_GB2312" w:cs="仿宋_GB2312"/>
          <w:color w:val="000000"/>
          <w:sz w:val="32"/>
          <w:szCs w:val="32"/>
        </w:rPr>
        <w:t>聘任。学术委员实行任期制，任期为四年，可连选连任，但连任最长不超过两届，每次换届连任委员人数不超过委员总数的2/3。</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FF0000"/>
          <w:sz w:val="32"/>
          <w:szCs w:val="32"/>
          <w:u w:val="single"/>
        </w:rPr>
      </w:pPr>
      <w:r>
        <w:rPr>
          <w:rFonts w:hint="eastAsia" w:ascii="仿宋_GB2312" w:hAnsi="仿宋_GB2312" w:eastAsia="仿宋_GB2312" w:cs="仿宋_GB2312"/>
          <w:b/>
          <w:bCs/>
          <w:color w:val="000000"/>
          <w:sz w:val="32"/>
          <w:szCs w:val="32"/>
        </w:rPr>
        <w:t xml:space="preserve">第七条 </w:t>
      </w:r>
      <w:r>
        <w:rPr>
          <w:rFonts w:hint="eastAsia" w:ascii="仿宋_GB2312" w:hAnsi="仿宋_GB2312" w:eastAsia="仿宋_GB2312" w:cs="仿宋_GB2312"/>
          <w:color w:val="000000"/>
          <w:sz w:val="32"/>
          <w:szCs w:val="32"/>
        </w:rPr>
        <w:t>学术委员会设主任委员1名、副主任委员2-3名，</w:t>
      </w:r>
      <w:r>
        <w:rPr>
          <w:rFonts w:hint="eastAsia" w:ascii="仿宋_GB2312" w:hAnsi="仿宋_GB2312" w:eastAsia="仿宋_GB2312" w:cs="仿宋_GB2312"/>
          <w:color w:val="auto"/>
          <w:sz w:val="32"/>
          <w:szCs w:val="32"/>
          <w:u w:val="none"/>
        </w:rPr>
        <w:t>主任委员、副主任委员人选由院长办公会提名，经全体正式委员选举产生。</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第八条</w:t>
      </w:r>
      <w:r>
        <w:rPr>
          <w:rFonts w:hint="eastAsia" w:ascii="仿宋_GB2312" w:hAnsi="仿宋_GB2312" w:eastAsia="仿宋_GB2312" w:cs="仿宋_GB2312"/>
          <w:color w:val="000000"/>
          <w:sz w:val="32"/>
          <w:szCs w:val="32"/>
        </w:rPr>
        <w:t xml:space="preserve"> 学术委员会下设学术道德委员会，负责学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学术道德建设、学术研究行为规范及学术不端行为的评判；也可根据学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事业发展需要就专业建设、教师聘任、教学</w:t>
      </w:r>
      <w:r>
        <w:rPr>
          <w:rFonts w:hint="eastAsia" w:ascii="仿宋_GB2312" w:hAnsi="仿宋_GB2312" w:eastAsia="仿宋_GB2312" w:cs="仿宋_GB2312"/>
          <w:color w:val="000000"/>
          <w:sz w:val="32"/>
          <w:szCs w:val="32"/>
        </w:rPr>
        <w:t>指导、科学研究等事项设立若干专门委员会，受学术委员会委托处理专项学术事务，履行相应职责。</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学术委员会秘书处设在</w:t>
      </w:r>
      <w:r>
        <w:rPr>
          <w:rFonts w:hint="eastAsia" w:ascii="仿宋_GB2312" w:hAnsi="仿宋_GB2312" w:eastAsia="仿宋_GB2312" w:cs="仿宋_GB2312"/>
          <w:color w:val="000000"/>
          <w:sz w:val="32"/>
          <w:szCs w:val="32"/>
          <w:u w:val="none"/>
        </w:rPr>
        <w:t>科研中心</w:t>
      </w:r>
      <w:r>
        <w:rPr>
          <w:rFonts w:hint="eastAsia" w:ascii="仿宋_GB2312" w:hAnsi="仿宋_GB2312" w:eastAsia="仿宋_GB2312" w:cs="仿宋_GB2312"/>
          <w:color w:val="000000"/>
          <w:sz w:val="32"/>
          <w:szCs w:val="32"/>
        </w:rPr>
        <w:t>。设秘书长1人，由科研中心负责人担任；秘书组成员3人，由教务处、科研中心、</w:t>
      </w:r>
      <w:r>
        <w:rPr>
          <w:rFonts w:hint="eastAsia" w:ascii="仿宋_GB2312" w:hAnsi="仿宋_GB2312" w:eastAsia="仿宋_GB2312" w:cs="仿宋_GB2312"/>
          <w:color w:val="000000"/>
          <w:sz w:val="32"/>
          <w:szCs w:val="32"/>
          <w:lang w:val="en-US" w:eastAsia="zh-CN"/>
        </w:rPr>
        <w:t>组织</w:t>
      </w:r>
      <w:r>
        <w:rPr>
          <w:rFonts w:hint="eastAsia" w:ascii="仿宋_GB2312" w:hAnsi="仿宋_GB2312" w:eastAsia="仿宋_GB2312" w:cs="仿宋_GB2312"/>
          <w:color w:val="000000"/>
          <w:sz w:val="32"/>
          <w:szCs w:val="32"/>
        </w:rPr>
        <w:t>人事处等相关职能部门人员组成，负责学术委员会日常事务。学术委员会的运行经费纳入学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000000"/>
          <w:sz w:val="32"/>
          <w:szCs w:val="32"/>
        </w:rPr>
        <w:t>安排。</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第十条</w:t>
      </w:r>
      <w:r>
        <w:rPr>
          <w:rFonts w:hint="eastAsia" w:ascii="仿宋_GB2312" w:hAnsi="仿宋_GB2312" w:eastAsia="仿宋_GB2312" w:cs="仿宋_GB2312"/>
          <w:color w:val="000000"/>
          <w:sz w:val="32"/>
          <w:szCs w:val="32"/>
        </w:rPr>
        <w:t xml:space="preserve"> 学术委员会委员在任期内有下列情形之一，经学术委员会全体会议讨论通过，可免除或同意其辞去委员职务：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（一）主动申请辞去委员职务的；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（二）因身体、年龄及职务变动等原因不能履行职责的；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auto"/>
          <w:sz w:val="32"/>
          <w:szCs w:val="32"/>
        </w:rPr>
        <w:t>怠于履行职责，年度出勤率低于应参加活动1/3或无故缺席达到</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次的；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（四）有违法、违反教师职业道德或有学术不端行为的；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（五）因其他原因不能或不宜担任学术委员职务的。</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第三章 职责权限</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b w:val="0"/>
          <w:bCs w:val="0"/>
          <w:color w:val="000000"/>
          <w:sz w:val="32"/>
          <w:szCs w:val="32"/>
        </w:rPr>
        <w:t>学术</w:t>
      </w:r>
      <w:r>
        <w:rPr>
          <w:rFonts w:hint="eastAsia" w:ascii="仿宋_GB2312" w:hAnsi="仿宋_GB2312" w:eastAsia="仿宋_GB2312" w:cs="仿宋_GB2312"/>
          <w:color w:val="000000"/>
          <w:sz w:val="32"/>
          <w:szCs w:val="32"/>
        </w:rPr>
        <w:t>委员会委员享有以下权利：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（一）知</w:t>
      </w:r>
      <w:r>
        <w:rPr>
          <w:rFonts w:hint="eastAsia" w:ascii="仿宋_GB2312" w:hAnsi="仿宋_GB2312" w:eastAsia="仿宋_GB2312" w:cs="仿宋_GB2312"/>
          <w:color w:val="auto"/>
          <w:sz w:val="32"/>
          <w:szCs w:val="32"/>
        </w:rPr>
        <w:t>悉与学术事务相关的学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各项管理制度、信息等；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（二）就学术事务向学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相关职能部门提出咨询或质询；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（三）在学术委员会会议中自由、独立地发表意见，讨论、审议和表决各项决议；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学术事务及学术委员会工作提出建议,实施监督；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章程或者学术委员</w:t>
      </w:r>
      <w:r>
        <w:rPr>
          <w:rFonts w:hint="eastAsia" w:ascii="仿宋_GB2312" w:hAnsi="仿宋_GB2312" w:eastAsia="仿宋_GB2312" w:cs="仿宋_GB2312"/>
          <w:color w:val="auto"/>
          <w:sz w:val="32"/>
          <w:szCs w:val="32"/>
          <w:lang w:val="en-US" w:eastAsia="zh-CN"/>
        </w:rPr>
        <w:t>会</w:t>
      </w:r>
      <w:r>
        <w:rPr>
          <w:rFonts w:hint="eastAsia" w:ascii="仿宋_GB2312" w:hAnsi="仿宋_GB2312" w:eastAsia="仿宋_GB2312" w:cs="仿宋_GB2312"/>
          <w:color w:val="auto"/>
          <w:sz w:val="32"/>
          <w:szCs w:val="32"/>
        </w:rPr>
        <w:t>章程规定的其他权利。</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学术委员会委员应自觉履行以下义务：</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（一）遵守国家</w:t>
      </w:r>
      <w:r>
        <w:rPr>
          <w:rFonts w:hint="eastAsia" w:ascii="仿宋_GB2312" w:hAnsi="仿宋_GB2312" w:eastAsia="仿宋_GB2312" w:cs="仿宋_GB2312"/>
          <w:color w:val="000000"/>
          <w:sz w:val="32"/>
          <w:szCs w:val="32"/>
        </w:rPr>
        <w:t>宪法、法律和法规，遵守学术规范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恪守学术道德；</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（二）遵守学术委员会章程，坚守学术专业判断，公正履行职责；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（三）勤勉尽职，积极参加学术委员会会议及有关活动；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（四）学校章程或者学术委员会章程规定的其他义务。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学术委员会的职责：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u w:val="none"/>
        </w:rPr>
        <w:t>审议</w:t>
      </w:r>
      <w:r>
        <w:rPr>
          <w:rFonts w:hint="eastAsia" w:ascii="仿宋_GB2312" w:hAnsi="仿宋_GB2312" w:eastAsia="仿宋_GB2312" w:cs="仿宋_GB2312"/>
          <w:color w:val="000000"/>
          <w:sz w:val="32"/>
          <w:szCs w:val="32"/>
        </w:rPr>
        <w:t>专业（学科）、教师队伍建设规划以及科学研究、对外学术交流等重大学术规划；对与学术事务相关的全局性、重大发展规划和发展战略及国内外重大项目合作提出咨</w:t>
      </w:r>
      <w:r>
        <w:rPr>
          <w:rFonts w:hint="eastAsia" w:ascii="仿宋_GB2312" w:hAnsi="仿宋_GB2312" w:eastAsia="仿宋_GB2312" w:cs="仿宋_GB2312"/>
          <w:color w:val="000000"/>
          <w:sz w:val="32"/>
          <w:szCs w:val="32"/>
          <w:u w:val="none"/>
        </w:rPr>
        <w:t xml:space="preserve">询意见;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（二）审议专业设置</w:t>
      </w:r>
      <w:r>
        <w:rPr>
          <w:rFonts w:hint="eastAsia" w:ascii="仿宋_GB2312" w:hAnsi="仿宋_GB2312" w:eastAsia="仿宋_GB2312" w:cs="仿宋_GB2312"/>
          <w:color w:val="000000"/>
          <w:sz w:val="32"/>
          <w:szCs w:val="32"/>
          <w:u w:val="none"/>
          <w:lang w:val="en-US" w:eastAsia="zh-CN"/>
        </w:rPr>
        <w:t>方案</w:t>
      </w:r>
      <w:r>
        <w:rPr>
          <w:rFonts w:hint="eastAsia" w:ascii="仿宋_GB2312" w:hAnsi="仿宋_GB2312" w:eastAsia="仿宋_GB2312" w:cs="仿宋_GB2312"/>
          <w:color w:val="000000"/>
          <w:sz w:val="32"/>
          <w:szCs w:val="32"/>
          <w:u w:val="none"/>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rPr>
        <w:t>（三）审议学术</w:t>
      </w:r>
      <w:r>
        <w:rPr>
          <w:rFonts w:hint="eastAsia" w:ascii="仿宋_GB2312" w:hAnsi="仿宋_GB2312" w:eastAsia="仿宋_GB2312" w:cs="仿宋_GB2312"/>
          <w:color w:val="000000"/>
          <w:sz w:val="32"/>
          <w:szCs w:val="32"/>
          <w:u w:val="none"/>
          <w:lang w:val="en-US" w:eastAsia="zh-CN"/>
        </w:rPr>
        <w:t>研究</w:t>
      </w:r>
      <w:r>
        <w:rPr>
          <w:rFonts w:hint="eastAsia" w:ascii="仿宋_GB2312" w:hAnsi="仿宋_GB2312" w:eastAsia="仿宋_GB2312" w:cs="仿宋_GB2312"/>
          <w:color w:val="000000"/>
          <w:sz w:val="32"/>
          <w:szCs w:val="32"/>
          <w:u w:val="none"/>
        </w:rPr>
        <w:t>机构设置方案，跨专业</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群</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与</w:t>
      </w:r>
      <w:r>
        <w:rPr>
          <w:rFonts w:hint="eastAsia" w:ascii="仿宋_GB2312" w:hAnsi="仿宋_GB2312" w:eastAsia="仿宋_GB2312" w:cs="仿宋_GB2312"/>
          <w:color w:val="000000"/>
          <w:sz w:val="32"/>
          <w:szCs w:val="32"/>
          <w:u w:val="none"/>
          <w:lang w:val="en-US" w:eastAsia="zh-CN"/>
        </w:rPr>
        <w:t>其他</w:t>
      </w:r>
      <w:r>
        <w:rPr>
          <w:rFonts w:hint="eastAsia" w:ascii="仿宋_GB2312" w:hAnsi="仿宋_GB2312" w:eastAsia="仿宋_GB2312" w:cs="仿宋_GB2312"/>
          <w:color w:val="000000"/>
          <w:sz w:val="32"/>
          <w:szCs w:val="32"/>
          <w:u w:val="none"/>
        </w:rPr>
        <w:t>院校、科研院所、行业企业</w:t>
      </w:r>
      <w:r>
        <w:rPr>
          <w:rFonts w:hint="eastAsia" w:ascii="仿宋_GB2312" w:hAnsi="仿宋_GB2312" w:eastAsia="仿宋_GB2312" w:cs="仿宋_GB2312"/>
          <w:color w:val="000000"/>
          <w:sz w:val="32"/>
          <w:szCs w:val="32"/>
          <w:u w:val="none"/>
          <w:lang w:val="en-US" w:eastAsia="zh-CN"/>
        </w:rPr>
        <w:t>开展</w:t>
      </w:r>
      <w:r>
        <w:rPr>
          <w:rFonts w:hint="eastAsia" w:ascii="仿宋_GB2312" w:hAnsi="仿宋_GB2312" w:eastAsia="仿宋_GB2312" w:cs="仿宋_GB2312"/>
          <w:color w:val="000000"/>
          <w:sz w:val="32"/>
          <w:szCs w:val="32"/>
          <w:u w:val="none"/>
        </w:rPr>
        <w:t>协同创新</w:t>
      </w:r>
      <w:r>
        <w:rPr>
          <w:rFonts w:hint="eastAsia" w:ascii="仿宋_GB2312" w:hAnsi="仿宋_GB2312" w:eastAsia="仿宋_GB2312" w:cs="仿宋_GB2312"/>
          <w:color w:val="000000"/>
          <w:sz w:val="32"/>
          <w:szCs w:val="32"/>
          <w:u w:val="none"/>
          <w:lang w:val="en-US" w:eastAsia="zh-CN"/>
        </w:rPr>
        <w:t>的建设</w:t>
      </w:r>
      <w:r>
        <w:rPr>
          <w:rFonts w:hint="eastAsia" w:ascii="仿宋_GB2312" w:hAnsi="仿宋_GB2312" w:eastAsia="仿宋_GB2312" w:cs="仿宋_GB2312"/>
          <w:color w:val="000000"/>
          <w:sz w:val="32"/>
          <w:szCs w:val="32"/>
          <w:u w:val="none"/>
        </w:rPr>
        <w:t>方案，专业资源的配置方案</w:t>
      </w:r>
      <w:r>
        <w:rPr>
          <w:rFonts w:hint="eastAsia" w:ascii="仿宋_GB2312" w:hAnsi="仿宋_GB2312" w:eastAsia="仿宋_GB2312" w:cs="仿宋_GB2312"/>
          <w:color w:val="000000"/>
          <w:sz w:val="32"/>
          <w:szCs w:val="32"/>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（四）审议教学成果、科研成果、人才培养质量的评价标准，教师职称聘任的学术标准</w:t>
      </w:r>
      <w:r>
        <w:rPr>
          <w:rFonts w:hint="eastAsia" w:ascii="仿宋_GB2312" w:hAnsi="仿宋_GB2312" w:eastAsia="仿宋_GB2312" w:cs="仿宋_GB2312"/>
          <w:sz w:val="32"/>
          <w:szCs w:val="32"/>
        </w:rPr>
        <w:t>与办法</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color w:val="000000"/>
          <w:sz w:val="32"/>
          <w:szCs w:val="32"/>
          <w:u w:val="none"/>
        </w:rPr>
        <w:t>评定</w:t>
      </w:r>
      <w:r>
        <w:rPr>
          <w:rFonts w:hint="eastAsia" w:ascii="仿宋_GB2312" w:hAnsi="仿宋_GB2312" w:eastAsia="仿宋_GB2312" w:cs="仿宋_GB2312"/>
          <w:kern w:val="0"/>
          <w:sz w:val="32"/>
          <w:szCs w:val="32"/>
          <w:u w:val="none"/>
        </w:rPr>
        <w:t>高层次人才引进人选</w:t>
      </w:r>
      <w:r>
        <w:rPr>
          <w:rFonts w:hint="eastAsia" w:ascii="仿宋_GB2312" w:hAnsi="仿宋_GB2312" w:eastAsia="仿宋_GB2312" w:cs="仿宋_GB2312"/>
          <w:color w:val="000000"/>
          <w:sz w:val="32"/>
          <w:szCs w:val="32"/>
          <w:u w:val="none"/>
        </w:rPr>
        <w:t>、大师工作室人选、</w:t>
      </w:r>
      <w:r>
        <w:rPr>
          <w:rFonts w:hint="eastAsia" w:ascii="仿宋_GB2312" w:hAnsi="仿宋_GB2312" w:eastAsia="仿宋_GB2312" w:cs="仿宋_GB2312"/>
          <w:kern w:val="0"/>
          <w:sz w:val="32"/>
          <w:szCs w:val="32"/>
          <w:u w:val="none"/>
        </w:rPr>
        <w:t>名誉（客座）教授聘任人选、推荐国内外重要学术组织的任职人选、人才选拔培养计划人选的学术水平；</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none"/>
        </w:rPr>
        <w:t>（六）</w:t>
      </w:r>
      <w:r>
        <w:rPr>
          <w:rFonts w:hint="eastAsia" w:ascii="仿宋_GB2312" w:hAnsi="仿宋_GB2312" w:eastAsia="仿宋_GB2312" w:cs="仿宋_GB2312"/>
          <w:color w:val="auto"/>
          <w:sz w:val="32"/>
          <w:szCs w:val="32"/>
          <w:u w:val="none"/>
        </w:rPr>
        <w:t>评定学</w:t>
      </w:r>
      <w:r>
        <w:rPr>
          <w:rFonts w:hint="eastAsia" w:ascii="仿宋_GB2312" w:hAnsi="仿宋_GB2312" w:eastAsia="仿宋_GB2312" w:cs="仿宋_GB2312"/>
          <w:color w:val="auto"/>
          <w:sz w:val="32"/>
          <w:szCs w:val="32"/>
          <w:u w:val="none"/>
          <w:lang w:val="en-US" w:eastAsia="zh-CN"/>
        </w:rPr>
        <w:t>院</w:t>
      </w:r>
      <w:r>
        <w:rPr>
          <w:rFonts w:hint="eastAsia" w:ascii="仿宋_GB2312" w:hAnsi="仿宋_GB2312" w:eastAsia="仿宋_GB2312" w:cs="仿宋_GB2312"/>
          <w:color w:val="auto"/>
          <w:sz w:val="32"/>
          <w:szCs w:val="32"/>
          <w:u w:val="none"/>
        </w:rPr>
        <w:t>各级各</w:t>
      </w:r>
      <w:r>
        <w:rPr>
          <w:rFonts w:hint="eastAsia" w:ascii="仿宋_GB2312" w:hAnsi="仿宋_GB2312" w:eastAsia="仿宋_GB2312" w:cs="仿宋_GB2312"/>
          <w:color w:val="000000"/>
          <w:sz w:val="32"/>
          <w:szCs w:val="32"/>
          <w:u w:val="none"/>
        </w:rPr>
        <w:t>类科学研究项</w:t>
      </w:r>
      <w:r>
        <w:rPr>
          <w:rFonts w:hint="eastAsia" w:ascii="仿宋_GB2312" w:hAnsi="仿宋_GB2312" w:eastAsia="仿宋_GB2312" w:cs="仿宋_GB2312"/>
          <w:color w:val="000000"/>
          <w:sz w:val="32"/>
          <w:szCs w:val="32"/>
        </w:rPr>
        <w:t>目、教学科研成果和奖励以及对外推荐教学、科研成果和奖励的学术水平；</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000000"/>
          <w:sz w:val="32"/>
          <w:szCs w:val="32"/>
        </w:rPr>
        <w:t>（七）审议学术道德规范、学术争议处理规则，受理有关学术不端行为的举报并进行调查，裁决相关学术纠纷，对违反学术道德规范的行为提出处理意见或建议。</w:t>
      </w:r>
      <w:r>
        <w:rPr>
          <w:rFonts w:hint="eastAsia" w:ascii="仿宋_GB2312" w:hAnsi="仿宋_GB2312" w:eastAsia="仿宋_GB2312" w:cs="仿宋_GB2312"/>
          <w:kern w:val="0"/>
          <w:sz w:val="32"/>
          <w:szCs w:val="32"/>
        </w:rPr>
        <w:t>学术委员会调查学术不端行为、裁决学术纠纷，应当组织具有权威性和中立性的专家组，从学术角度独立调查取证，客观公正地进行调查认定。专家组的认定结论，当事人有异议的，学术委员会应当组织复议，必要的可以举行听证</w:t>
      </w:r>
      <w:r>
        <w:rPr>
          <w:rFonts w:hint="eastAsia" w:ascii="仿宋_GB2312" w:hAnsi="仿宋_GB2312" w:eastAsia="仿宋_GB2312" w:cs="仿宋_GB2312"/>
          <w:kern w:val="0"/>
          <w:sz w:val="32"/>
          <w:szCs w:val="32"/>
          <w:lang w:eastAsia="zh-CN"/>
        </w:rPr>
        <w:t>。对违反学术道德的行为，学术委员会可以依职权直接撤销或者建议相关部门撤销当事人相应的学术称号、学术待遇，并可以同时向学</w:t>
      </w:r>
      <w:r>
        <w:rPr>
          <w:rFonts w:hint="eastAsia" w:ascii="仿宋_GB2312" w:hAnsi="仿宋_GB2312" w:eastAsia="仿宋_GB2312" w:cs="仿宋_GB2312"/>
          <w:kern w:val="0"/>
          <w:sz w:val="32"/>
          <w:szCs w:val="32"/>
          <w:lang w:val="en-US" w:eastAsia="zh-CN"/>
        </w:rPr>
        <w:t>院</w:t>
      </w:r>
      <w:r>
        <w:rPr>
          <w:rFonts w:hint="eastAsia" w:ascii="仿宋_GB2312" w:hAnsi="仿宋_GB2312" w:eastAsia="仿宋_GB2312" w:cs="仿宋_GB2312"/>
          <w:kern w:val="0"/>
          <w:sz w:val="32"/>
          <w:szCs w:val="32"/>
          <w:lang w:eastAsia="zh-CN"/>
        </w:rPr>
        <w:t>、相关部门提出处理建议；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rPr>
        <w:t>（八）</w:t>
      </w:r>
      <w:r>
        <w:rPr>
          <w:rFonts w:hint="eastAsia" w:ascii="仿宋_GB2312" w:hAnsi="仿宋_GB2312" w:eastAsia="仿宋_GB2312" w:cs="仿宋_GB2312"/>
          <w:color w:val="auto"/>
          <w:kern w:val="0"/>
          <w:sz w:val="32"/>
          <w:szCs w:val="32"/>
        </w:rPr>
        <w:t>在学院制</w:t>
      </w:r>
      <w:r>
        <w:rPr>
          <w:rFonts w:hint="eastAsia" w:ascii="仿宋_GB2312" w:hAnsi="仿宋_GB2312" w:eastAsia="仿宋_GB2312" w:cs="仿宋_GB2312"/>
          <w:color w:val="auto"/>
          <w:kern w:val="0"/>
          <w:sz w:val="32"/>
          <w:szCs w:val="32"/>
          <w:lang w:eastAsia="zh-CN"/>
        </w:rPr>
        <w:t>定</w:t>
      </w:r>
      <w:r>
        <w:rPr>
          <w:rFonts w:hint="eastAsia" w:ascii="仿宋_GB2312" w:hAnsi="仿宋_GB2312" w:eastAsia="仿宋_GB2312" w:cs="仿宋_GB2312"/>
          <w:color w:val="auto"/>
          <w:kern w:val="0"/>
          <w:sz w:val="32"/>
          <w:szCs w:val="32"/>
        </w:rPr>
        <w:t>与学术事务相关的全局性、重大发展规划和发展战略，学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kern w:val="0"/>
          <w:sz w:val="32"/>
          <w:szCs w:val="32"/>
        </w:rPr>
        <w:t>预算决算中教学、科研经费的安排和分配及使用，教学、科研重大项目的申报及资金的分配使用，对外开展重大项目合作等决策时提供学术方面的咨询意见；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rPr>
        <w:t>（九）学术委员会章程规定的或</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长委托的其</w:t>
      </w:r>
      <w:r>
        <w:rPr>
          <w:rFonts w:hint="eastAsia" w:ascii="仿宋_GB2312" w:hAnsi="仿宋_GB2312" w:eastAsia="仿宋_GB2312" w:cs="仿宋_GB2312"/>
          <w:color w:val="000000"/>
          <w:sz w:val="32"/>
          <w:szCs w:val="32"/>
        </w:rPr>
        <w:t>他工作。</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第四章 运行制度</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一般实行全体委员会会议制度，根据主任委员的决定，或1/3以上学术委员的联名提议，召开会议。学术委员会会议由主任委员召集和主持，受主任委员委托，可由副主任委员召集和主持会议。学术委员会委员全体会议应有2/3以上委员出席方可举行。秘书处在学术委员会召开会议前将会议所要审议和讨论的议题通知全体委员，并提供相关资料。</w:t>
      </w:r>
      <w:r>
        <w:rPr>
          <w:rFonts w:hint="eastAsia" w:ascii="仿宋_GB2312" w:hAnsi="仿宋_GB2312" w:eastAsia="仿宋_GB2312" w:cs="仿宋_GB2312"/>
          <w:sz w:val="32"/>
          <w:szCs w:val="32"/>
        </w:rPr>
        <w:t>经与会1/3以上委员同意，可以临时增加议题。</w:t>
      </w:r>
      <w:r>
        <w:rPr>
          <w:rFonts w:hint="eastAsia" w:ascii="仿宋_GB2312" w:hAnsi="仿宋_GB2312" w:eastAsia="仿宋_GB2312" w:cs="仿宋_GB2312"/>
          <w:color w:val="000000"/>
          <w:sz w:val="32"/>
          <w:szCs w:val="32"/>
        </w:rPr>
        <w:t>根据需要,经学术委员会主任委员批准,科研项目的立项、结项评审可通过专家函审方式进行。</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五</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学术委员会议事决策实行少数服从多数原则，重大事项应当</w:t>
      </w:r>
      <w:r>
        <w:rPr>
          <w:rFonts w:hint="eastAsia" w:ascii="仿宋_GB2312" w:hAnsi="仿宋_GB2312" w:eastAsia="仿宋_GB2312" w:cs="仿宋_GB2312"/>
          <w:color w:val="000000"/>
          <w:sz w:val="32"/>
          <w:szCs w:val="32"/>
          <w:lang w:val="en-US" w:eastAsia="zh-CN"/>
        </w:rPr>
        <w:t>经</w:t>
      </w:r>
      <w:r>
        <w:rPr>
          <w:rFonts w:hint="eastAsia" w:ascii="仿宋_GB2312" w:hAnsi="仿宋_GB2312" w:eastAsia="仿宋_GB2312" w:cs="仿宋_GB2312"/>
          <w:color w:val="000000"/>
          <w:sz w:val="32"/>
          <w:szCs w:val="32"/>
        </w:rPr>
        <w:t>与会委员的2/3以上同意，方可通过。学术委员会会议审议决定或者评定的事项，一般应当以无记名投票方式做出决定；也可根据事项性质，采取实名投票方式或举手表决方式做出决定。遇有紧急事项需</w:t>
      </w:r>
      <w:r>
        <w:rPr>
          <w:rFonts w:hint="eastAsia" w:ascii="仿宋_GB2312" w:hAnsi="仿宋_GB2312" w:eastAsia="仿宋_GB2312" w:cs="仿宋_GB2312"/>
          <w:color w:val="auto"/>
          <w:sz w:val="32"/>
          <w:szCs w:val="32"/>
        </w:rPr>
        <w:t>要表决时，经</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学术委员会主任会议商定，可进行通讯表决。学术委员会会议可根据议题设立旁听席，允许学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sz w:val="32"/>
          <w:szCs w:val="32"/>
        </w:rPr>
        <w:t>相关职能部门、教师及学生代表列席旁听。</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六</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学术委员会实行议事回避制度。学术委员会审议事项与委员</w:t>
      </w:r>
      <w:r>
        <w:rPr>
          <w:rFonts w:hint="eastAsia" w:ascii="仿宋_GB2312" w:hAnsi="仿宋_GB2312" w:eastAsia="仿宋_GB2312" w:cs="仿宋_GB2312"/>
          <w:sz w:val="32"/>
          <w:szCs w:val="32"/>
        </w:rPr>
        <w:t>本人及其配偶和直系亲属</w:t>
      </w:r>
      <w:r>
        <w:rPr>
          <w:rFonts w:hint="eastAsia" w:ascii="仿宋_GB2312" w:hAnsi="仿宋_GB2312" w:eastAsia="仿宋_GB2312" w:cs="仿宋_GB2312"/>
          <w:color w:val="000000"/>
          <w:sz w:val="32"/>
          <w:szCs w:val="32"/>
        </w:rPr>
        <w:t>有关，或有利益关联的，相关委员应予回避。</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七</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学术委员因故不能参加会议的，必须向学术委员会主任委员请假，不得由他人代替出席，也不得委托其他学术委员代为表决。</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第十</w:t>
      </w:r>
      <w:r>
        <w:rPr>
          <w:rFonts w:hint="eastAsia" w:ascii="仿宋_GB2312" w:hAnsi="仿宋_GB2312" w:eastAsia="仿宋_GB2312" w:cs="仿宋_GB2312"/>
          <w:b/>
          <w:bCs/>
          <w:color w:val="000000"/>
          <w:sz w:val="32"/>
          <w:szCs w:val="32"/>
          <w:lang w:val="en-US" w:eastAsia="zh-CN"/>
        </w:rPr>
        <w:t>八</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学术委员会坚持严格的保密制度。</w:t>
      </w:r>
    </w:p>
    <w:p>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val="en-US" w:eastAsia="zh-CN"/>
        </w:rPr>
        <w:t>十九</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学术委员会讨论通过的决定应当予以公示，</w:t>
      </w:r>
      <w:r>
        <w:rPr>
          <w:rFonts w:hint="eastAsia" w:ascii="仿宋_GB2312" w:hAnsi="仿宋_GB2312" w:eastAsia="仿宋_GB2312" w:cs="仿宋_GB2312"/>
          <w:kern w:val="0"/>
          <w:sz w:val="32"/>
          <w:szCs w:val="32"/>
        </w:rPr>
        <w:t>并设置异议期。在异议期内如有异议，经1/3以上委员同意，可召开全体会议复议。经复议的决定为</w:t>
      </w:r>
      <w:r>
        <w:rPr>
          <w:rFonts w:hint="eastAsia" w:ascii="仿宋_GB2312" w:hAnsi="仿宋_GB2312" w:eastAsia="仿宋_GB2312" w:cs="仿宋_GB2312"/>
          <w:kern w:val="0"/>
          <w:sz w:val="32"/>
          <w:szCs w:val="32"/>
          <w:lang w:val="en-US" w:eastAsia="zh-CN"/>
        </w:rPr>
        <w:t>终局</w:t>
      </w:r>
      <w:r>
        <w:rPr>
          <w:rFonts w:hint="eastAsia" w:ascii="仿宋_GB2312" w:hAnsi="仿宋_GB2312" w:eastAsia="仿宋_GB2312" w:cs="仿宋_GB2312"/>
          <w:kern w:val="0"/>
          <w:sz w:val="32"/>
          <w:szCs w:val="32"/>
        </w:rPr>
        <w:t>结论。</w:t>
      </w:r>
    </w:p>
    <w:p>
      <w:pPr>
        <w:keepNext w:val="0"/>
        <w:keepLines w:val="0"/>
        <w:pageBreakBefore w:val="0"/>
        <w:widowControl/>
        <w:kinsoku/>
        <w:wordWrap/>
        <w:overflowPunct/>
        <w:topLinePunct w:val="0"/>
        <w:autoSpaceDE/>
        <w:autoSpaceDN/>
        <w:bidi w:val="0"/>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第二十条</w:t>
      </w:r>
      <w:r>
        <w:rPr>
          <w:rFonts w:hint="eastAsia" w:ascii="仿宋_GB2312" w:hAnsi="仿宋_GB2312" w:eastAsia="仿宋_GB2312" w:cs="仿宋_GB2312"/>
          <w:kern w:val="0"/>
          <w:sz w:val="32"/>
          <w:szCs w:val="32"/>
        </w:rPr>
        <w:t xml:space="preserve"> 学术委员会应当建立年度报告制度，每年度对</w:t>
      </w:r>
      <w:r>
        <w:rPr>
          <w:rFonts w:hint="eastAsia" w:ascii="仿宋_GB2312" w:hAnsi="仿宋_GB2312" w:eastAsia="仿宋_GB2312" w:cs="仿宋_GB2312"/>
          <w:color w:val="auto"/>
          <w:kern w:val="0"/>
          <w:sz w:val="32"/>
          <w:szCs w:val="32"/>
        </w:rPr>
        <w:t>学</w:t>
      </w:r>
      <w:r>
        <w:rPr>
          <w:rFonts w:hint="eastAsia" w:ascii="仿宋_GB2312" w:hAnsi="仿宋_GB2312" w:eastAsia="仿宋_GB2312" w:cs="仿宋_GB2312"/>
          <w:color w:val="auto"/>
          <w:sz w:val="32"/>
          <w:szCs w:val="32"/>
          <w:lang w:val="en-US" w:eastAsia="zh-CN"/>
        </w:rPr>
        <w:t>院</w:t>
      </w:r>
      <w:r>
        <w:rPr>
          <w:rFonts w:hint="eastAsia" w:ascii="仿宋_GB2312" w:hAnsi="仿宋_GB2312" w:eastAsia="仿宋_GB2312" w:cs="仿宋_GB2312"/>
          <w:color w:val="auto"/>
          <w:kern w:val="0"/>
          <w:sz w:val="32"/>
          <w:szCs w:val="32"/>
        </w:rPr>
        <w:t>整体的</w:t>
      </w:r>
      <w:r>
        <w:rPr>
          <w:rFonts w:hint="eastAsia" w:ascii="仿宋_GB2312" w:hAnsi="仿宋_GB2312" w:eastAsia="仿宋_GB2312" w:cs="仿宋_GB2312"/>
          <w:kern w:val="0"/>
          <w:sz w:val="32"/>
          <w:szCs w:val="32"/>
        </w:rPr>
        <w:t>学术水平、学科发展、人才培养质量等进行全面评价，提出意见、建议；对学术委员会的运行及履行职责的情况进行总结。学术委员会年度报告应提交教职工代表大会审议。</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643" w:firstLineChars="200"/>
        <w:jc w:val="center"/>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第五章 附则</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学术委员会组建方案由学术委员会秘书处提出，体现学术引导，遵循向教学、科研系统和基层岗位倾斜的原则。</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二</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本章程在执行过程中，若需要补充、修改，须由学术委员会秘书处提出修正案，提交学术委员会讨论，经学术委员会2/3以上委员同意通过，由</w:t>
      </w:r>
      <w:r>
        <w:rPr>
          <w:rFonts w:hint="eastAsia" w:ascii="仿宋_GB2312" w:hAnsi="仿宋_GB2312" w:eastAsia="仿宋_GB2312" w:cs="仿宋_GB2312"/>
          <w:color w:val="000000"/>
          <w:sz w:val="32"/>
          <w:szCs w:val="32"/>
          <w:lang w:eastAsia="zh-CN"/>
        </w:rPr>
        <w:t>学院</w:t>
      </w:r>
      <w:r>
        <w:rPr>
          <w:rFonts w:hint="eastAsia" w:ascii="仿宋_GB2312" w:hAnsi="仿宋_GB2312" w:eastAsia="仿宋_GB2312" w:cs="仿宋_GB2312"/>
          <w:color w:val="000000"/>
          <w:sz w:val="32"/>
          <w:szCs w:val="32"/>
        </w:rPr>
        <w:t>党委会形成决议。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三</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本章程由学术委员会秘书处负责解释。</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val="en-US" w:eastAsia="zh-CN"/>
        </w:rPr>
        <w:t>四</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本章程经学术委员会审议通过，报</w:t>
      </w:r>
      <w:r>
        <w:rPr>
          <w:rFonts w:hint="eastAsia" w:ascii="仿宋_GB2312" w:hAnsi="仿宋_GB2312" w:eastAsia="仿宋_GB2312" w:cs="仿宋_GB2312"/>
          <w:color w:val="000000"/>
          <w:sz w:val="32"/>
          <w:szCs w:val="32"/>
          <w:lang w:eastAsia="zh-CN"/>
        </w:rPr>
        <w:t>学院</w:t>
      </w:r>
      <w:r>
        <w:rPr>
          <w:rFonts w:hint="eastAsia" w:ascii="仿宋_GB2312" w:hAnsi="仿宋_GB2312" w:eastAsia="仿宋_GB2312" w:cs="仿宋_GB2312"/>
          <w:color w:val="000000"/>
          <w:sz w:val="32"/>
          <w:szCs w:val="32"/>
        </w:rPr>
        <w:t>党委会审议批准后，自签发之日起实施。</w:t>
      </w:r>
    </w:p>
    <w:sectPr>
      <w:headerReference r:id="rId10" w:type="first"/>
      <w:footerReference r:id="rId12" w:type="first"/>
      <w:headerReference r:id="rId9" w:type="default"/>
      <w:footerReference r:id="rId11"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ascii="Calibri" w:hAnsi="Calibri" w:eastAsia="宋体" w:cs="Times New Roman"/>
                              <w:sz w:val="32"/>
                              <w:szCs w:val="32"/>
                            </w:rPr>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1</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5"/>
                      <w:rPr>
                        <w:rFonts w:ascii="Calibri" w:hAnsi="Calibri" w:eastAsia="宋体" w:cs="Times New Roman"/>
                        <w:sz w:val="32"/>
                        <w:szCs w:val="32"/>
                      </w:rPr>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1</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3</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3</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Calibri" w:hAnsi="Calibri" w:eastAsia="宋体" w:cs="Times New Roman"/>
                              <w:sz w:val="32"/>
                              <w:szCs w:val="32"/>
                            </w:rPr>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1</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rPr>
                        <w:rFonts w:ascii="Calibri" w:hAnsi="Calibri" w:eastAsia="宋体" w:cs="Times New Roman"/>
                        <w:sz w:val="32"/>
                        <w:szCs w:val="32"/>
                      </w:rPr>
                    </w:pPr>
                    <w:r>
                      <w:rPr>
                        <w:rFonts w:ascii="Calibri" w:hAnsi="Calibri" w:eastAsia="宋体" w:cs="Times New Roman"/>
                        <w:sz w:val="32"/>
                        <w:szCs w:val="32"/>
                      </w:rPr>
                      <w:t xml:space="preserve">— </w:t>
                    </w:r>
                    <w:r>
                      <w:rPr>
                        <w:rFonts w:ascii="Calibri" w:hAnsi="Calibri" w:eastAsia="宋体" w:cs="Times New Roman"/>
                        <w:sz w:val="32"/>
                        <w:szCs w:val="32"/>
                      </w:rPr>
                      <w:fldChar w:fldCharType="begin"/>
                    </w:r>
                    <w:r>
                      <w:rPr>
                        <w:rFonts w:ascii="Calibri" w:hAnsi="Calibri" w:eastAsia="宋体" w:cs="Times New Roman"/>
                        <w:sz w:val="32"/>
                        <w:szCs w:val="32"/>
                      </w:rPr>
                      <w:instrText xml:space="preserve"> PAGE  \* MERGEFORMAT </w:instrText>
                    </w:r>
                    <w:r>
                      <w:rPr>
                        <w:rFonts w:ascii="Calibri" w:hAnsi="Calibri" w:eastAsia="宋体" w:cs="Times New Roman"/>
                        <w:sz w:val="32"/>
                        <w:szCs w:val="32"/>
                      </w:rPr>
                      <w:fldChar w:fldCharType="separate"/>
                    </w:r>
                    <w:r>
                      <w:rPr>
                        <w:rFonts w:ascii="Calibri" w:hAnsi="Calibri" w:eastAsia="宋体" w:cs="Times New Roman"/>
                        <w:sz w:val="32"/>
                        <w:szCs w:val="32"/>
                      </w:rPr>
                      <w:t>1</w:t>
                    </w:r>
                    <w:r>
                      <w:rPr>
                        <w:rFonts w:ascii="Calibri" w:hAnsi="Calibri" w:eastAsia="宋体" w:cs="Times New Roman"/>
                        <w:sz w:val="32"/>
                        <w:szCs w:val="32"/>
                      </w:rPr>
                      <w:fldChar w:fldCharType="end"/>
                    </w:r>
                    <w:r>
                      <w:rPr>
                        <w:rFonts w:ascii="Calibri" w:hAnsi="Calibri" w:eastAsia="宋体" w:cs="Times New Roman"/>
                        <w:sz w:val="32"/>
                        <w:szCs w:val="32"/>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5"/>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2MDcxNjc1MDBmNzg1OWQzMDQzNjA3NmQ5OWRmMDkifQ=="/>
  </w:docVars>
  <w:rsids>
    <w:rsidRoot w:val="008F0215"/>
    <w:rsid w:val="00120BBE"/>
    <w:rsid w:val="001D3BDC"/>
    <w:rsid w:val="002375F0"/>
    <w:rsid w:val="00243925"/>
    <w:rsid w:val="002F39A1"/>
    <w:rsid w:val="00355401"/>
    <w:rsid w:val="004D66A9"/>
    <w:rsid w:val="005C2A24"/>
    <w:rsid w:val="005D56F3"/>
    <w:rsid w:val="00740508"/>
    <w:rsid w:val="0079715A"/>
    <w:rsid w:val="007D5259"/>
    <w:rsid w:val="007F578D"/>
    <w:rsid w:val="00802783"/>
    <w:rsid w:val="008249FD"/>
    <w:rsid w:val="00852C19"/>
    <w:rsid w:val="008F0215"/>
    <w:rsid w:val="00905604"/>
    <w:rsid w:val="009121B8"/>
    <w:rsid w:val="00BF425D"/>
    <w:rsid w:val="00C54CDA"/>
    <w:rsid w:val="00E565A3"/>
    <w:rsid w:val="01CC3898"/>
    <w:rsid w:val="02745B13"/>
    <w:rsid w:val="0445393F"/>
    <w:rsid w:val="0B85745E"/>
    <w:rsid w:val="0D1D273D"/>
    <w:rsid w:val="14005823"/>
    <w:rsid w:val="15CE2AD4"/>
    <w:rsid w:val="1C01523F"/>
    <w:rsid w:val="1CD477DC"/>
    <w:rsid w:val="1D434E54"/>
    <w:rsid w:val="1FA80734"/>
    <w:rsid w:val="22A070E1"/>
    <w:rsid w:val="243A6FEC"/>
    <w:rsid w:val="24847038"/>
    <w:rsid w:val="2B2B2BE0"/>
    <w:rsid w:val="2B9F419E"/>
    <w:rsid w:val="2BAF02C0"/>
    <w:rsid w:val="33F110F0"/>
    <w:rsid w:val="3546366A"/>
    <w:rsid w:val="4085729F"/>
    <w:rsid w:val="44BB3EC9"/>
    <w:rsid w:val="44FD2E17"/>
    <w:rsid w:val="4D7B0FD4"/>
    <w:rsid w:val="4DF25FA9"/>
    <w:rsid w:val="517D7B69"/>
    <w:rsid w:val="5ACF0E4A"/>
    <w:rsid w:val="5B070C08"/>
    <w:rsid w:val="5DEC6FF0"/>
    <w:rsid w:val="5DF00A38"/>
    <w:rsid w:val="6148266D"/>
    <w:rsid w:val="63E703DA"/>
    <w:rsid w:val="651A5BEE"/>
    <w:rsid w:val="65687E66"/>
    <w:rsid w:val="667C5B16"/>
    <w:rsid w:val="669F17D2"/>
    <w:rsid w:val="69FB4534"/>
    <w:rsid w:val="6A1B229B"/>
    <w:rsid w:val="6FB25EDF"/>
    <w:rsid w:val="76A6368C"/>
    <w:rsid w:val="77EF1307"/>
    <w:rsid w:val="79677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1"/>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paragraph" w:customStyle="1" w:styleId="10">
    <w:name w:val="txt"/>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8"/>
    <w:link w:val="4"/>
    <w:semiHidden/>
    <w:qFormat/>
    <w:uiPriority w:val="99"/>
    <w:rPr>
      <w:rFonts w:ascii="Times New Roman" w:hAnsi="Times New Roman" w:eastAsia="宋体" w:cs="Times New Roman"/>
      <w:kern w:val="2"/>
      <w:sz w:val="18"/>
      <w:szCs w:val="18"/>
    </w:rPr>
  </w:style>
  <w:style w:type="character" w:customStyle="1" w:styleId="12">
    <w:name w:val="页眉 Char"/>
    <w:basedOn w:val="8"/>
    <w:link w:val="6"/>
    <w:qFormat/>
    <w:uiPriority w:val="99"/>
    <w:rPr>
      <w:rFonts w:ascii="Times New Roman" w:hAnsi="Times New Roman" w:eastAsia="宋体" w:cs="Times New Roman"/>
      <w:kern w:val="2"/>
      <w:sz w:val="18"/>
      <w:szCs w:val="18"/>
    </w:rPr>
  </w:style>
  <w:style w:type="character" w:customStyle="1" w:styleId="13">
    <w:name w:val="页脚 Char"/>
    <w:basedOn w:val="8"/>
    <w:link w:val="5"/>
    <w:qFormat/>
    <w:uiPriority w:val="99"/>
    <w:rPr>
      <w:rFonts w:ascii="Times New Roman" w:hAnsi="Times New Roman" w:eastAsia="宋体" w:cs="Times New Roman"/>
      <w:kern w:val="2"/>
      <w:sz w:val="18"/>
      <w:szCs w:val="18"/>
    </w:rPr>
  </w:style>
  <w:style w:type="paragraph" w:customStyle="1" w:styleId="14">
    <w:name w:val="标题1"/>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8696B7-FE70-4315-8042-8C1C72982899}">
  <ds:schemaRefs/>
</ds:datastoreItem>
</file>

<file path=docProps/app.xml><?xml version="1.0" encoding="utf-8"?>
<Properties xmlns="http://schemas.openxmlformats.org/officeDocument/2006/extended-properties" xmlns:vt="http://schemas.openxmlformats.org/officeDocument/2006/docPropsVTypes">
  <Template>Normal</Template>
  <Pages>9</Pages>
  <Words>3637</Words>
  <Characters>3669</Characters>
  <Lines>27</Lines>
  <Paragraphs>7</Paragraphs>
  <TotalTime>0</TotalTime>
  <ScaleCrop>false</ScaleCrop>
  <LinksUpToDate>false</LinksUpToDate>
  <CharactersWithSpaces>3701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2022-03-22T02:24:00Z</dcterms:created>
  <dc:creator>Mini</dc:creator>
  <cp:lastModifiedBy>dzbdzs</cp:lastModifiedBy>
  <cp:lastPrinted>2023-03-09T00:45:05Z</cp:lastPrinted>
  <dcterms:modified xsi:type="dcterms:W3CDTF">2023-03-09T00:46:49Z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2D097144208D4B85853F6DDC1163B767</vt:lpwstr>
  </property>
</Properties>
</file>