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ind w:left="420" w:leftChars="200"/>
        <w:jc w:val="center"/>
        <w:rPr>
          <w:rFonts w:hint="eastAsia" w:ascii="Times New Roman" w:hAnsi="Times New Roman" w:eastAsia="方正小标宋简体" w:cs="Times New Roman"/>
          <w:color w:val="auto"/>
          <w:kern w:val="2"/>
          <w:sz w:val="44"/>
          <w:szCs w:val="44"/>
          <w:lang w:val="en-US" w:eastAsia="zh-CN" w:bidi="ar-SA"/>
        </w:rPr>
      </w:pPr>
    </w:p>
    <w:p>
      <w:pPr>
        <w:pStyle w:val="10"/>
        <w:spacing w:line="560" w:lineRule="exact"/>
        <w:ind w:left="420" w:leftChars="200"/>
        <w:jc w:val="center"/>
        <w:rPr>
          <w:rFonts w:hint="eastAsia" w:ascii="Times New Roman" w:hAnsi="Times New Roman" w:eastAsia="方正小标宋简体" w:cs="Times New Roman"/>
          <w:color w:val="auto"/>
          <w:kern w:val="2"/>
          <w:sz w:val="44"/>
          <w:szCs w:val="44"/>
          <w:lang w:val="en-US" w:eastAsia="zh-CN" w:bidi="ar-SA"/>
        </w:rPr>
      </w:pPr>
    </w:p>
    <w:p>
      <w:pPr>
        <w:pStyle w:val="10"/>
        <w:spacing w:line="560" w:lineRule="exact"/>
        <w:ind w:left="420" w:leftChars="200"/>
        <w:jc w:val="center"/>
        <w:rPr>
          <w:rFonts w:hint="eastAsia" w:ascii="Times New Roman" w:hAnsi="Times New Roman" w:eastAsia="方正小标宋简体" w:cs="Times New Roman"/>
          <w:color w:val="auto"/>
          <w:kern w:val="2"/>
          <w:sz w:val="44"/>
          <w:szCs w:val="44"/>
          <w:lang w:val="en-US" w:eastAsia="zh-CN" w:bidi="ar-SA"/>
        </w:rPr>
      </w:pPr>
    </w:p>
    <w:p>
      <w:pPr>
        <w:pStyle w:val="10"/>
        <w:spacing w:line="560" w:lineRule="exact"/>
        <w:ind w:left="420" w:leftChars="200"/>
        <w:jc w:val="center"/>
        <w:rPr>
          <w:rFonts w:hint="eastAsia" w:ascii="Times New Roman" w:hAnsi="Times New Roman" w:eastAsia="方正小标宋简体" w:cs="Times New Roman"/>
          <w:color w:val="auto"/>
          <w:kern w:val="2"/>
          <w:sz w:val="44"/>
          <w:szCs w:val="44"/>
          <w:lang w:val="en-US" w:eastAsia="zh-CN" w:bidi="ar-SA"/>
        </w:rPr>
      </w:pPr>
    </w:p>
    <w:p>
      <w:pPr>
        <w:pStyle w:val="10"/>
        <w:spacing w:line="560" w:lineRule="exact"/>
        <w:ind w:left="420" w:leftChars="200"/>
        <w:jc w:val="center"/>
        <w:rPr>
          <w:rFonts w:hint="eastAsia" w:ascii="Times New Roman" w:hAnsi="Times New Roman"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办通字〔202</w:t>
      </w:r>
      <w:r>
        <w:rPr>
          <w:rFonts w:hint="eastAsia" w:ascii="仿宋_GB2312" w:hAnsi="仿宋_GB2312" w:eastAsia="仿宋_GB2312" w:cs="仿宋_GB2312"/>
          <w:bCs/>
          <w:color w:val="000000"/>
          <w:kern w:val="0"/>
          <w:sz w:val="32"/>
          <w:szCs w:val="32"/>
          <w:lang w:val="en-US" w:eastAsia="zh-CN"/>
        </w:rPr>
        <w:t>3</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1</w:t>
      </w:r>
      <w:r>
        <w:rPr>
          <w:rFonts w:hint="eastAsia" w:ascii="仿宋_GB2312" w:hAnsi="仿宋_GB2312" w:eastAsia="仿宋_GB2312" w:cs="仿宋_GB2312"/>
          <w:bCs/>
          <w:color w:val="000000"/>
          <w:kern w:val="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eastAsia="zh-CN"/>
        </w:rPr>
        <w:t>承德应用技术职业学院</w:t>
      </w:r>
      <w:r>
        <w:rPr>
          <w:rFonts w:hint="eastAsia" w:ascii="方正小标宋简体" w:hAnsi="方正小标宋简体" w:eastAsia="方正小标宋简体" w:cs="方正小标宋简体"/>
          <w:color w:val="000000"/>
          <w:sz w:val="44"/>
          <w:szCs w:val="44"/>
          <w:lang w:val="en-US" w:eastAsia="zh-CN"/>
        </w:rPr>
        <w:t>党政办公室</w:t>
      </w: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ascii="Times New Roman" w:hAnsi="Times New Roman" w:eastAsia="方正小标宋简体" w:cs="Times New Roman"/>
          <w:sz w:val="44"/>
          <w:szCs w:val="44"/>
          <w:lang w:val="en-US" w:eastAsia="zh-CN"/>
        </w:rPr>
      </w:pPr>
      <w:r>
        <w:rPr>
          <w:rFonts w:hint="eastAsia" w:ascii="方正小标宋简体" w:hAnsi="方正小标宋简体" w:eastAsia="方正小标宋简体" w:cs="方正小标宋简体"/>
          <w:color w:val="000000"/>
          <w:sz w:val="44"/>
          <w:szCs w:val="44"/>
        </w:rPr>
        <w:t>关于</w:t>
      </w:r>
      <w:r>
        <w:rPr>
          <w:rFonts w:hint="eastAsia" w:ascii="方正小标宋简体" w:hAnsi="方正小标宋简体" w:eastAsia="方正小标宋简体" w:cs="方正小标宋简体"/>
          <w:color w:val="000000"/>
          <w:sz w:val="44"/>
          <w:szCs w:val="44"/>
          <w:lang w:val="en-US" w:eastAsia="zh-CN"/>
        </w:rPr>
        <w:t>印发《</w:t>
      </w:r>
      <w:r>
        <w:rPr>
          <w:rFonts w:hint="eastAsia" w:ascii="Times New Roman" w:hAnsi="Times New Roman" w:eastAsia="方正小标宋简体" w:cs="Times New Roman"/>
          <w:sz w:val="44"/>
          <w:szCs w:val="44"/>
          <w:lang w:val="en-US" w:eastAsia="zh-CN"/>
        </w:rPr>
        <w:t>承德应用技术职业学院</w:t>
      </w: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教职工在职攻读博士研究生管理办法（试行）</w:t>
      </w:r>
      <w:r>
        <w:rPr>
          <w:rFonts w:hint="eastAsia" w:ascii="方正小标宋简体" w:hAnsi="方正小标宋简体" w:eastAsia="方正小标宋简体" w:cs="方正小标宋简体"/>
          <w:color w:val="000000"/>
          <w:sz w:val="44"/>
          <w:szCs w:val="44"/>
          <w:lang w:val="en-US" w:eastAsia="zh-CN"/>
        </w:rPr>
        <w:t>》的通知</w:t>
      </w:r>
    </w:p>
    <w:p>
      <w:pPr>
        <w:keepNext w:val="0"/>
        <w:keepLines w:val="0"/>
        <w:pageBreakBefore w:val="0"/>
        <w:kinsoku/>
        <w:wordWrap/>
        <w:overflowPunct/>
        <w:topLinePunct w:val="0"/>
        <w:autoSpaceDE/>
        <w:autoSpaceDN/>
        <w:bidi w:val="0"/>
        <w:adjustRightInd/>
        <w:snapToGrid w:val="0"/>
        <w:spacing w:line="560" w:lineRule="exact"/>
        <w:jc w:val="both"/>
        <w:textAlignment w:val="auto"/>
        <w:outlineLvl w:val="0"/>
        <w:rPr>
          <w:rFonts w:hint="eastAsia" w:ascii="仿宋_GB2312" w:hAnsi="仿宋_GB2312" w:eastAsia="仿宋_GB2312" w:cs="仿宋_GB2312"/>
          <w:sz w:val="32"/>
          <w:szCs w:val="40"/>
        </w:rPr>
      </w:pPr>
    </w:p>
    <w:p>
      <w:pPr>
        <w:keepNext w:val="0"/>
        <w:keepLines w:val="0"/>
        <w:pageBreakBefore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w w:val="105"/>
          <w:sz w:val="32"/>
          <w:szCs w:val="32"/>
        </w:rPr>
      </w:pPr>
      <w:r>
        <w:rPr>
          <w:rFonts w:hint="eastAsia" w:ascii="仿宋_GB2312" w:hAnsi="仿宋_GB2312" w:eastAsia="仿宋_GB2312" w:cs="仿宋_GB2312"/>
          <w:bCs/>
          <w:w w:val="105"/>
          <w:sz w:val="32"/>
          <w:szCs w:val="32"/>
        </w:rPr>
        <w:t>各单位：</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kern w:val="0"/>
          <w:sz w:val="32"/>
          <w:szCs w:val="32"/>
        </w:rPr>
      </w:pPr>
      <w:r>
        <w:rPr>
          <w:rFonts w:hint="eastAsia" w:ascii="仿宋_GB2312" w:hAnsi="仿宋_GB2312" w:eastAsia="仿宋_GB2312" w:cs="仿宋_GB2312"/>
          <w:bCs/>
          <w:color w:val="000000"/>
          <w:sz w:val="32"/>
          <w:szCs w:val="32"/>
        </w:rPr>
        <w:t>《承德应用技术职业学院教职工在职攻读博士研究生管理办法（试行）》经62次党委会审议通过，现印发给你们，请遵照执行。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sectPr>
          <w:headerReference r:id="rId5" w:type="default"/>
          <w:footerReference r:id="rId7" w:type="default"/>
          <w:headerReference r:id="rId6" w:type="even"/>
          <w:footerReference r:id="rId8" w:type="even"/>
          <w:pgSz w:w="11906" w:h="16838"/>
          <w:pgMar w:top="2041" w:right="1474" w:bottom="1984" w:left="1588" w:header="851" w:footer="992" w:gutter="0"/>
          <w:pgNumType w:fmt="decimal"/>
          <w:cols w:space="720" w:num="1"/>
          <w:titlePg/>
          <w:docGrid w:type="lines" w:linePitch="312" w:charSpace="0"/>
        </w:sectPr>
      </w:pPr>
      <w:r>
        <w:rPr>
          <w:rFonts w:hint="eastAsia" w:ascii="仿宋_GB2312" w:hAnsi="仿宋_GB2312" w:eastAsia="仿宋_GB2312" w:cs="仿宋_GB2312"/>
          <w:bCs/>
          <w:color w:val="000000"/>
          <w:kern w:val="0"/>
          <w:sz w:val="32"/>
          <w:szCs w:val="32"/>
          <w:lang w:val="en-US" w:eastAsia="zh-CN"/>
        </w:rPr>
        <w:t xml:space="preserve">                        </w:t>
      </w:r>
      <w:r>
        <w:rPr>
          <w:rFonts w:hint="eastAsia" w:ascii="仿宋_GB2312" w:hAnsi="仿宋_GB2312" w:eastAsia="仿宋_GB2312" w:cs="仿宋_GB2312"/>
          <w:bCs/>
          <w:color w:val="000000"/>
          <w:kern w:val="0"/>
          <w:sz w:val="32"/>
          <w:szCs w:val="32"/>
          <w:highlight w:val="none"/>
          <w:lang w:val="en-US" w:eastAsia="zh-CN"/>
        </w:rPr>
        <w:t xml:space="preserve"> </w:t>
      </w:r>
      <w:r>
        <w:rPr>
          <w:rFonts w:hint="eastAsia" w:ascii="仿宋_GB2312" w:hAnsi="仿宋_GB2312" w:eastAsia="仿宋_GB2312" w:cs="仿宋_GB2312"/>
          <w:bCs/>
          <w:color w:val="000000"/>
          <w:kern w:val="0"/>
          <w:sz w:val="32"/>
          <w:szCs w:val="32"/>
          <w:highlight w:val="none"/>
        </w:rPr>
        <w:t>202</w:t>
      </w:r>
      <w:r>
        <w:rPr>
          <w:rFonts w:hint="eastAsia" w:ascii="仿宋_GB2312" w:hAnsi="仿宋_GB2312" w:eastAsia="仿宋_GB2312" w:cs="仿宋_GB2312"/>
          <w:bCs/>
          <w:color w:val="000000"/>
          <w:kern w:val="0"/>
          <w:sz w:val="32"/>
          <w:szCs w:val="32"/>
          <w:highlight w:val="none"/>
          <w:lang w:val="en-US" w:eastAsia="zh-CN"/>
        </w:rPr>
        <w:t>3</w:t>
      </w:r>
      <w:r>
        <w:rPr>
          <w:rFonts w:hint="eastAsia" w:ascii="仿宋_GB2312" w:hAnsi="仿宋_GB2312" w:eastAsia="仿宋_GB2312" w:cs="仿宋_GB2312"/>
          <w:bCs/>
          <w:color w:val="000000"/>
          <w:kern w:val="0"/>
          <w:sz w:val="32"/>
          <w:szCs w:val="32"/>
        </w:rPr>
        <w:t>年</w:t>
      </w:r>
      <w:r>
        <w:rPr>
          <w:rFonts w:hint="eastAsia" w:ascii="仿宋_GB2312" w:hAnsi="仿宋_GB2312" w:eastAsia="仿宋_GB2312" w:cs="仿宋_GB2312"/>
          <w:bCs/>
          <w:color w:val="000000"/>
          <w:kern w:val="0"/>
          <w:sz w:val="32"/>
          <w:szCs w:val="32"/>
          <w:lang w:val="en-US" w:eastAsia="zh-CN"/>
        </w:rPr>
        <w:t>2</w:t>
      </w:r>
      <w:r>
        <w:rPr>
          <w:rFonts w:hint="eastAsia" w:ascii="仿宋_GB2312" w:hAnsi="仿宋_GB2312" w:eastAsia="仿宋_GB2312" w:cs="仿宋_GB2312"/>
          <w:bCs/>
          <w:color w:val="000000"/>
          <w:kern w:val="0"/>
          <w:sz w:val="32"/>
          <w:szCs w:val="32"/>
        </w:rPr>
        <w:t>月</w:t>
      </w:r>
      <w:r>
        <w:rPr>
          <w:rFonts w:hint="eastAsia" w:ascii="仿宋_GB2312" w:hAnsi="仿宋_GB2312" w:eastAsia="仿宋_GB2312" w:cs="仿宋_GB2312"/>
          <w:bCs/>
          <w:color w:val="000000"/>
          <w:kern w:val="0"/>
          <w:sz w:val="32"/>
          <w:szCs w:val="32"/>
          <w:lang w:val="en-US" w:eastAsia="zh-CN"/>
        </w:rPr>
        <w:t>20</w:t>
      </w:r>
      <w:r>
        <w:rPr>
          <w:rFonts w:hint="eastAsia" w:ascii="仿宋_GB2312" w:hAnsi="仿宋_GB2312" w:eastAsia="仿宋_GB2312" w:cs="仿宋_GB2312"/>
          <w:bCs/>
          <w:color w:val="000000"/>
          <w:kern w:val="0"/>
          <w:sz w:val="32"/>
          <w:szCs w:val="32"/>
        </w:rPr>
        <w:t>日</w:t>
      </w:r>
      <w:bookmarkStart w:id="0" w:name="_Toc365134279"/>
    </w:p>
    <w:bookmarkEnd w:id="0"/>
    <w:p>
      <w:pPr>
        <w:pStyle w:val="10"/>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承德应用技术职业学院</w:t>
      </w:r>
    </w:p>
    <w:p>
      <w:pPr>
        <w:pStyle w:val="10"/>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教职工在职攻读博士研究生管理办法</w:t>
      </w:r>
    </w:p>
    <w:p>
      <w:pPr>
        <w:pStyle w:val="10"/>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（试行）</w:t>
      </w:r>
    </w:p>
    <w:p>
      <w:pPr>
        <w:pStyle w:val="10"/>
        <w:keepNext w:val="0"/>
        <w:keepLines w:val="0"/>
        <w:pageBreakBefore w:val="0"/>
        <w:kinsoku/>
        <w:wordWrap/>
        <w:overflowPunct/>
        <w:topLinePunct w:val="0"/>
        <w:bidi w:val="0"/>
        <w:snapToGrid/>
        <w:spacing w:line="560" w:lineRule="exact"/>
        <w:ind w:left="420" w:leftChars="200" w:firstLine="880" w:firstLineChars="20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宋体"/>
          <w:sz w:val="32"/>
          <w:szCs w:val="32"/>
        </w:rPr>
      </w:pPr>
      <w:r>
        <w:rPr>
          <w:rFonts w:hint="eastAsia" w:ascii="仿宋_GB2312" w:hAnsi="仿宋" w:eastAsia="仿宋_GB2312" w:cs="仿宋_GB2312"/>
          <w:sz w:val="32"/>
          <w:szCs w:val="32"/>
          <w:shd w:val="clear" w:color="auto" w:fill="FFFFFF"/>
        </w:rPr>
        <w:t>为进一步加强学院师资队伍建设，规范和加强教职工在职攻读博士研究生的管理工作，</w:t>
      </w:r>
      <w:r>
        <w:rPr>
          <w:rFonts w:hint="eastAsia" w:ascii="仿宋_GB2312" w:hAnsi="仿宋" w:eastAsia="仿宋_GB2312" w:cs="宋体"/>
          <w:sz w:val="32"/>
          <w:szCs w:val="32"/>
        </w:rPr>
        <w:t>特制定本办法。</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Times New Roman" w:hAnsi="Times New Roman" w:eastAsia="黑体" w:cs="Times New Roman"/>
          <w:sz w:val="32"/>
          <w:szCs w:val="32"/>
        </w:rPr>
        <w:t>一、报考规定</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仿宋_GB2312" w:hAnsi="仿宋" w:eastAsia="仿宋_GB2312" w:cs="仿宋"/>
          <w:kern w:val="0"/>
          <w:sz w:val="32"/>
          <w:szCs w:val="32"/>
        </w:rPr>
        <w:t>根据师资队伍建设规划，结合学科建设</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rPr>
        <w:t>专业建设的需要，学院有计划、有重点地鼓励并支持教师在职报考国内高水平院校和学院急需专业的定向（委培）博士研究生，不允许在职教师报考非定向（委培）博士研究生。</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仿宋_GB2312" w:hAnsi="仿宋" w:eastAsia="仿宋_GB2312" w:cs="仿宋"/>
          <w:kern w:val="0"/>
          <w:sz w:val="32"/>
          <w:szCs w:val="32"/>
        </w:rPr>
        <w:t>学院从严把握出国境攻读国外博士学历学位质量。攻读国外院校博士学位的，该院校必须为教育部认证的正规院校，且在国外获得的博士学位质量原则上不低于国内同类型博士学位质量。鼓励申报国外高水平大学（报考当年QS或泰晤士报世界大学排名前300的大学，下同）。按省教育厅要求，学院不允许培养、引进“速成博士”和非教育部认证的博士。</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kern w:val="0"/>
          <w:sz w:val="32"/>
          <w:szCs w:val="32"/>
        </w:rPr>
        <w:t>攻读博士学位要求所申报学习的专业应与本人本硕专业一致或相近，同时要与目前所从事的专业和学校发展建设培养方向需要相一致。</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 w:eastAsia="仿宋_GB2312" w:cs="仿宋"/>
          <w:kern w:val="0"/>
          <w:sz w:val="32"/>
          <w:szCs w:val="32"/>
        </w:rPr>
        <w:t>各部门在保证教学科研工作正常进行的前提下，优先推荐学科、专业带头人、教学名师、骨干教师、思政课教师、辅导员、优秀青年教师报考。</w:t>
      </w:r>
      <w:r>
        <w:rPr>
          <w:rFonts w:hint="eastAsia" w:ascii="仿宋_GB2312" w:hAnsi="仿宋" w:eastAsia="仿宋_GB2312" w:cs="仿宋"/>
          <w:kern w:val="0"/>
          <w:sz w:val="32"/>
          <w:szCs w:val="32"/>
          <w:highlight w:val="none"/>
        </w:rPr>
        <w:t>一般系里</w:t>
      </w:r>
      <w:r>
        <w:rPr>
          <w:rFonts w:hint="eastAsia" w:ascii="仿宋_GB2312" w:hAnsi="仿宋" w:eastAsia="仿宋_GB2312" w:cs="仿宋"/>
          <w:kern w:val="0"/>
          <w:sz w:val="32"/>
          <w:szCs w:val="32"/>
        </w:rPr>
        <w:t>每年每个专业群、马克思主义学院、文化基础部、体育艺术部脱产在读人员不超过1名，重点建设学科视情况给予倾斜。</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5.</w:t>
      </w:r>
      <w:r>
        <w:rPr>
          <w:rFonts w:hint="eastAsia" w:ascii="仿宋_GB2312" w:hAnsi="仿宋" w:eastAsia="仿宋_GB2312" w:cs="仿宋"/>
          <w:kern w:val="0"/>
          <w:sz w:val="32"/>
          <w:szCs w:val="32"/>
        </w:rPr>
        <w:t>攻读博士研究生以教学一线教师为主，兼顾教辅人员和管理人员，教辅人员和管理人员报考博士研究生要严格控制人数。原则上读博回校后应回教学岗位从事教学科研工作。</w:t>
      </w:r>
    </w:p>
    <w:p>
      <w:pPr>
        <w:keepNext w:val="0"/>
        <w:keepLines w:val="0"/>
        <w:pageBreakBefore w:val="0"/>
        <w:widowControl/>
        <w:kinsoku/>
        <w:wordWrap/>
        <w:overflowPunct/>
        <w:topLinePunct w:val="0"/>
        <w:bidi w:val="0"/>
        <w:snapToGrid/>
        <w:ind w:firstLine="640" w:firstLineChars="200"/>
        <w:textAlignment w:val="auto"/>
        <w:rPr>
          <w:rFonts w:ascii="仿宋_GB2312" w:hAnsi="黑体" w:eastAsia="仿宋_GB2312" w:cs="黑体"/>
          <w:kern w:val="0"/>
          <w:sz w:val="32"/>
          <w:szCs w:val="32"/>
        </w:rPr>
      </w:pPr>
      <w:r>
        <w:rPr>
          <w:rFonts w:hint="eastAsia" w:ascii="Times New Roman" w:hAnsi="Times New Roman" w:eastAsia="仿宋_GB2312" w:cs="Times New Roman"/>
          <w:sz w:val="32"/>
          <w:szCs w:val="32"/>
          <w:lang w:val="en-US" w:eastAsia="zh-CN"/>
        </w:rPr>
        <w:t>6</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rPr>
        <w:t>教职工攻读博士研究生需经所在系部、部门和学院同意，按程序申报，学院按规定履行相关审批手续。未经审批同意报考的学院不予支持。未经批准擅自脱岗去攻读学位者，按自动离职处理。</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二、学习管理</w:t>
      </w:r>
    </w:p>
    <w:p>
      <w:pPr>
        <w:keepNext w:val="0"/>
        <w:keepLines w:val="0"/>
        <w:pageBreakBefore w:val="0"/>
        <w:widowControl/>
        <w:kinsoku/>
        <w:wordWrap/>
        <w:overflowPunct/>
        <w:topLinePunct w:val="0"/>
        <w:bidi w:val="0"/>
        <w:adjustRightInd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kern w:val="0"/>
          <w:sz w:val="32"/>
          <w:szCs w:val="32"/>
        </w:rPr>
        <w:t>学院同意报考的博士研究生，录取后个人需与学校签订协议书。</w:t>
      </w:r>
    </w:p>
    <w:p>
      <w:pPr>
        <w:keepNext w:val="0"/>
        <w:keepLines w:val="0"/>
        <w:pageBreakBefore w:val="0"/>
        <w:widowControl/>
        <w:kinsoku/>
        <w:wordWrap/>
        <w:overflowPunct/>
        <w:topLinePunct w:val="0"/>
        <w:bidi w:val="0"/>
        <w:adjustRightInd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kern w:val="0"/>
          <w:sz w:val="32"/>
          <w:szCs w:val="32"/>
        </w:rPr>
        <w:t>教职工攻读博士研究生期间，每学期向学院书面汇报个人安全、思想动态和学习情况并参加教职工年度考核。所在部门和人事部门要加强学习过程考核。就读国外学校的人员必须严格遵守外事相关纪律。</w:t>
      </w:r>
    </w:p>
    <w:p>
      <w:pPr>
        <w:keepNext w:val="0"/>
        <w:keepLines w:val="0"/>
        <w:pageBreakBefore w:val="0"/>
        <w:widowControl/>
        <w:kinsoku/>
        <w:wordWrap/>
        <w:overflowPunct/>
        <w:topLinePunct w:val="0"/>
        <w:bidi w:val="0"/>
        <w:adjustRightInd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kern w:val="0"/>
          <w:sz w:val="32"/>
          <w:szCs w:val="32"/>
        </w:rPr>
        <w:t>服从学院管理，主动参与并积极完成学院交给的相关工作任务，从事的研究工作也尽量与学院专业发展建设相关。在职攻读博士学位人员分阶段参加集中学习的，应按照学院关于教职工请销假的有关规定办理请假和销假手续。</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 w:eastAsia="仿宋_GB2312" w:cs="仿宋"/>
          <w:kern w:val="0"/>
          <w:sz w:val="32"/>
          <w:szCs w:val="32"/>
        </w:rPr>
        <w:t>取得学历、学位后，学习期间各年度考核合格者可报销相关费用，但取得博士学位后必须在我院服务满8年以上。提前离职，要按照协议返还报销的费用，并承担违约责任，具体按《承德应用技术职业学院教职工攻读博士研究生培养协议书》执行。</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三、相关待遇</w:t>
      </w:r>
    </w:p>
    <w:p>
      <w:pPr>
        <w:keepNext w:val="0"/>
        <w:keepLines w:val="0"/>
        <w:pageBreakBefore w:val="0"/>
        <w:widowControl/>
        <w:kinsoku/>
        <w:wordWrap/>
        <w:overflowPunct/>
        <w:topLinePunct w:val="0"/>
        <w:bidi w:val="0"/>
        <w:snapToGrid/>
        <w:ind w:firstLine="640" w:firstLineChars="200"/>
        <w:jc w:val="left"/>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kern w:val="0"/>
          <w:sz w:val="32"/>
          <w:szCs w:val="32"/>
        </w:rPr>
        <w:t>脱产学习期间发放财政直发的工资和各类绩效津补贴，</w:t>
      </w:r>
      <w:r>
        <w:rPr>
          <w:rFonts w:hint="eastAsia" w:ascii="仿宋_GB2312" w:hAnsi="仿宋" w:eastAsia="仿宋_GB2312" w:cs="仿宋"/>
          <w:color w:val="000000"/>
          <w:kern w:val="0"/>
          <w:sz w:val="32"/>
          <w:szCs w:val="32"/>
        </w:rPr>
        <w:t>并按规定办理社会保险和个人住房公积金缴纳。</w:t>
      </w:r>
      <w:r>
        <w:rPr>
          <w:rFonts w:hint="eastAsia" w:ascii="仿宋_GB2312" w:hAnsi="仿宋" w:eastAsia="仿宋_GB2312" w:cs="仿宋"/>
          <w:kern w:val="0"/>
          <w:sz w:val="32"/>
          <w:szCs w:val="32"/>
        </w:rPr>
        <w:t>不发放校内津贴。</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u w:val="single"/>
        </w:rPr>
      </w:pP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kern w:val="0"/>
          <w:sz w:val="32"/>
          <w:szCs w:val="32"/>
        </w:rPr>
        <w:t>学费、交通费、住宿费先由个人承担，取得博士学位毕业证后（国外院校毕业需取得教育部留学服务中心学历学位认证书，以下同），经组织人事处、财务处审核后报学院审定报销学费和交通费、住宿费相关费用。</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kern w:val="0"/>
          <w:sz w:val="32"/>
          <w:szCs w:val="32"/>
        </w:rPr>
        <w:t>考取国内大学或者</w:t>
      </w:r>
      <w:r>
        <w:rPr>
          <w:rFonts w:hint="eastAsia" w:ascii="仿宋_GB2312" w:hAnsi="仿宋" w:eastAsia="仿宋_GB2312" w:cs="Helvetica"/>
          <w:kern w:val="0"/>
          <w:sz w:val="32"/>
          <w:szCs w:val="32"/>
        </w:rPr>
        <w:t>国外高水平大学，可以报销学费、国内大学每学期一次返往交通费、国外高水平大学每年一次往返交通费、就读学校收取的住宿费，</w:t>
      </w:r>
      <w:r>
        <w:rPr>
          <w:rFonts w:hint="eastAsia" w:ascii="仿宋_GB2312" w:hAnsi="仿宋" w:eastAsia="仿宋_GB2312" w:cs="仿宋"/>
          <w:kern w:val="0"/>
          <w:sz w:val="32"/>
          <w:szCs w:val="32"/>
        </w:rPr>
        <w:t>报销总额最高不超过10万元人民币。</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 w:eastAsia="仿宋_GB2312" w:cs="仿宋"/>
          <w:kern w:val="0"/>
          <w:sz w:val="32"/>
          <w:szCs w:val="32"/>
        </w:rPr>
        <w:t>考取国外当年QS或泰晤士报世界大学排名301-500的大学，可以</w:t>
      </w:r>
      <w:r>
        <w:rPr>
          <w:rFonts w:hint="eastAsia" w:ascii="仿宋_GB2312" w:hAnsi="仿宋" w:eastAsia="仿宋_GB2312" w:cs="Helvetica"/>
          <w:kern w:val="0"/>
          <w:sz w:val="32"/>
          <w:szCs w:val="32"/>
        </w:rPr>
        <w:t>报销学费、每年一次往返交通费和就读学校收取的住宿费，</w:t>
      </w:r>
      <w:r>
        <w:rPr>
          <w:rFonts w:hint="eastAsia" w:ascii="仿宋_GB2312" w:hAnsi="仿宋" w:eastAsia="仿宋_GB2312" w:cs="仿宋"/>
          <w:kern w:val="0"/>
          <w:sz w:val="32"/>
          <w:szCs w:val="32"/>
        </w:rPr>
        <w:t>报销总额最高不超过5万元人民币。</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5.</w:t>
      </w:r>
      <w:r>
        <w:rPr>
          <w:rFonts w:hint="eastAsia" w:ascii="仿宋_GB2312" w:hAnsi="仿宋" w:eastAsia="仿宋_GB2312" w:cs="Helvetica"/>
          <w:kern w:val="0"/>
          <w:sz w:val="32"/>
          <w:szCs w:val="32"/>
        </w:rPr>
        <w:t>考取国外其他大学，可以给予一定出国学习假期，累计最长不超过13个月，不报销任何与攻读博士学位相关的费用。</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6.</w:t>
      </w:r>
      <w:r>
        <w:rPr>
          <w:rFonts w:hint="eastAsia" w:ascii="仿宋_GB2312" w:hAnsi="仿宋" w:eastAsia="仿宋_GB2312" w:cs="仿宋"/>
          <w:kern w:val="0"/>
          <w:sz w:val="32"/>
          <w:szCs w:val="32"/>
        </w:rPr>
        <w:t>在读期间可正常参加职称评审。</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四、审批程序</w:t>
      </w:r>
    </w:p>
    <w:p>
      <w:pPr>
        <w:keepNext w:val="0"/>
        <w:keepLines w:val="0"/>
        <w:pageBreakBefore w:val="0"/>
        <w:tabs>
          <w:tab w:val="left" w:pos="1170"/>
        </w:tabs>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kern w:val="0"/>
          <w:sz w:val="32"/>
          <w:szCs w:val="32"/>
        </w:rPr>
        <w:t>符合报考条件的申请者，本人需提出个人攻读博士学位书面申请并填写《承德应用技术职业学院教职工进修培训申请审批表》（从组织人事处网站下载）。</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kern w:val="0"/>
          <w:sz w:val="32"/>
          <w:szCs w:val="32"/>
        </w:rPr>
        <w:t>系部教师</w:t>
      </w:r>
      <w:r>
        <w:rPr>
          <w:rFonts w:hint="eastAsia" w:ascii="仿宋_GB2312" w:hAnsi="仿宋" w:eastAsia="仿宋_GB2312" w:cs="仿宋"/>
          <w:kern w:val="0"/>
          <w:sz w:val="32"/>
          <w:szCs w:val="32"/>
          <w:lang w:val="en-US" w:eastAsia="zh-CN"/>
        </w:rPr>
        <w:t>:</w:t>
      </w:r>
      <w:r>
        <w:rPr>
          <w:rFonts w:hint="eastAsia" w:ascii="仿宋_GB2312" w:hAnsi="仿宋" w:eastAsia="仿宋_GB2312" w:cs="仿宋"/>
          <w:kern w:val="0"/>
          <w:sz w:val="32"/>
          <w:szCs w:val="32"/>
        </w:rPr>
        <w:t>个人申请-系部意见-教务处意见-分管教务院领导意见-组织人事处审核-分管人事院领导审批。</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kern w:val="0"/>
          <w:sz w:val="32"/>
          <w:szCs w:val="32"/>
        </w:rPr>
        <w:t>辅导员</w:t>
      </w:r>
      <w:r>
        <w:rPr>
          <w:rFonts w:hint="eastAsia" w:ascii="仿宋_GB2312" w:hAnsi="仿宋" w:eastAsia="仿宋_GB2312" w:cs="仿宋"/>
          <w:kern w:val="0"/>
          <w:sz w:val="32"/>
          <w:szCs w:val="32"/>
          <w:lang w:val="en-US" w:eastAsia="zh-CN"/>
        </w:rPr>
        <w:t>:</w:t>
      </w:r>
      <w:r>
        <w:rPr>
          <w:rFonts w:hint="eastAsia" w:ascii="仿宋_GB2312" w:hAnsi="仿宋" w:eastAsia="仿宋_GB2312" w:cs="仿宋"/>
          <w:kern w:val="0"/>
          <w:sz w:val="32"/>
          <w:szCs w:val="32"/>
        </w:rPr>
        <w:t>个人申请-系部意见-学工处、教务处意见-分管学工和教务院领导意见-组织人事处审核-分管人事院领导审批。</w:t>
      </w:r>
    </w:p>
    <w:p>
      <w:pPr>
        <w:keepNext w:val="0"/>
        <w:keepLines w:val="0"/>
        <w:pageBreakBefore w:val="0"/>
        <w:widowControl/>
        <w:kinsoku/>
        <w:wordWrap/>
        <w:overflowPunct/>
        <w:topLinePunct w:val="0"/>
        <w:bidi w:val="0"/>
        <w:adjustRightInd w:val="0"/>
        <w:snapToGrid/>
        <w:ind w:firstLine="640" w:firstLineChars="200"/>
        <w:textAlignment w:val="auto"/>
        <w:rPr>
          <w:rFonts w:ascii="仿宋_GB2312" w:hAnsi="仿宋" w:eastAsia="仿宋_GB2312" w:cs="仿宋"/>
          <w:color w:val="FF0000"/>
          <w:kern w:val="0"/>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 w:eastAsia="仿宋_GB2312" w:cs="仿宋"/>
          <w:kern w:val="0"/>
          <w:sz w:val="32"/>
          <w:szCs w:val="32"/>
        </w:rPr>
        <w:t>行政教辅人员</w:t>
      </w:r>
      <w:r>
        <w:rPr>
          <w:rFonts w:hint="eastAsia" w:ascii="仿宋_GB2312" w:hAnsi="仿宋" w:eastAsia="仿宋_GB2312" w:cs="仿宋"/>
          <w:kern w:val="0"/>
          <w:sz w:val="32"/>
          <w:szCs w:val="32"/>
          <w:lang w:val="en-US" w:eastAsia="zh-CN"/>
        </w:rPr>
        <w:t>:</w:t>
      </w:r>
      <w:r>
        <w:rPr>
          <w:rFonts w:hint="eastAsia" w:ascii="仿宋_GB2312" w:hAnsi="仿宋" w:eastAsia="仿宋_GB2312" w:cs="仿宋"/>
          <w:kern w:val="0"/>
          <w:sz w:val="32"/>
          <w:szCs w:val="32"/>
        </w:rPr>
        <w:t>个人申请-处室意见-处室分管院领导意见-教务处意见-分管教务院领导意见-组织人事处审核-分管人事院领导审批。</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5.</w:t>
      </w:r>
      <w:r>
        <w:rPr>
          <w:rFonts w:hint="eastAsia" w:ascii="仿宋_GB2312" w:hAnsi="仿宋" w:eastAsia="仿宋_GB2312" w:cs="仿宋"/>
          <w:kern w:val="0"/>
          <w:sz w:val="32"/>
          <w:szCs w:val="32"/>
        </w:rPr>
        <w:t>取得入学资格后，本人向组织人事处提交录取通知书、招生简章和就读学校出具的学制安排证明等材料，与学院签订《承德应用技术职业学院教职工攻读博士研究生培养协议书》。</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6.</w:t>
      </w:r>
      <w:r>
        <w:rPr>
          <w:rFonts w:hint="eastAsia" w:ascii="仿宋_GB2312" w:hAnsi="仿宋" w:eastAsia="仿宋_GB2312" w:cs="仿宋"/>
          <w:kern w:val="0"/>
          <w:sz w:val="32"/>
          <w:szCs w:val="32"/>
        </w:rPr>
        <w:t>未履行审批程序者，或虽经学院批准，但在考取后未与学院签订协议，或擅自更改报考学科、专业或培养方式者，学院不予认可，不办理相关手续，不享受学院有关待遇。</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7.</w:t>
      </w:r>
      <w:r>
        <w:rPr>
          <w:rFonts w:hint="eastAsia" w:ascii="仿宋_GB2312" w:hAnsi="仿宋" w:eastAsia="仿宋_GB2312" w:cs="仿宋"/>
          <w:kern w:val="0"/>
          <w:sz w:val="32"/>
          <w:szCs w:val="32"/>
        </w:rPr>
        <w:t>经学院批准的报考者，如当年未能录取，以后再次报考，需重新履行申报程序，否则视为未经学院批准。</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五、其他事项</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kern w:val="0"/>
          <w:sz w:val="32"/>
          <w:szCs w:val="32"/>
        </w:rPr>
        <w:t>攻读博士学位研究生延期期间的学费、住宿费、交通费学院不予报销。</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kern w:val="0"/>
          <w:sz w:val="32"/>
          <w:szCs w:val="32"/>
        </w:rPr>
        <w:t>未取得学历、学位证书的，不享受相关</w:t>
      </w:r>
      <w:bookmarkStart w:id="1" w:name="_GoBack"/>
      <w:bookmarkEnd w:id="1"/>
      <w:r>
        <w:rPr>
          <w:rFonts w:hint="eastAsia" w:ascii="仿宋_GB2312" w:hAnsi="仿宋" w:eastAsia="仿宋_GB2312" w:cs="仿宋"/>
          <w:kern w:val="0"/>
          <w:sz w:val="32"/>
          <w:szCs w:val="32"/>
        </w:rPr>
        <w:t>待遇。</w:t>
      </w:r>
    </w:p>
    <w:p>
      <w:pPr>
        <w:pStyle w:val="10"/>
        <w:keepNext w:val="0"/>
        <w:keepLines w:val="0"/>
        <w:pageBreakBefore w:val="0"/>
        <w:kinsoku/>
        <w:wordWrap/>
        <w:overflowPunct/>
        <w:topLinePunct w:val="0"/>
        <w:bidi w:val="0"/>
        <w:snapToGrid/>
        <w:spacing w:line="560" w:lineRule="exact"/>
        <w:ind w:firstLine="640" w:firstLineChars="200"/>
        <w:jc w:val="both"/>
        <w:textAlignment w:val="auto"/>
        <w:rPr>
          <w:rFonts w:ascii="仿宋_GB2312"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 w:eastAsia="仿宋_GB2312" w:cs="仿宋"/>
          <w:color w:val="auto"/>
          <w:sz w:val="32"/>
          <w:szCs w:val="32"/>
        </w:rPr>
        <w:t>博士研究生完成学业后应按时回校，回校后1</w:t>
      </w:r>
      <w:r>
        <w:rPr>
          <w:rFonts w:hint="eastAsia" w:ascii="仿宋_GB2312" w:hAnsi="仿宋" w:eastAsia="仿宋_GB2312" w:cs="宋体"/>
          <w:color w:val="auto"/>
          <w:sz w:val="32"/>
          <w:szCs w:val="32"/>
        </w:rPr>
        <w:t>个月内携带毕业证、学位证原件到组织人事处办理有关更改学历学位、报销费用等手续。博士研究生毕业证、学位证原件由组织人事处代为保管8年。</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 w:eastAsia="仿宋_GB2312" w:cs="仿宋"/>
          <w:kern w:val="0"/>
          <w:sz w:val="32"/>
          <w:szCs w:val="32"/>
        </w:rPr>
        <w:t>读博期间，教师发表论文、专利申请以及课题研究，均需注明作者单位为“承德应用技术职业学院”。</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 w:eastAsia="仿宋_GB2312" w:cs="仿宋"/>
          <w:kern w:val="0"/>
          <w:sz w:val="32"/>
          <w:szCs w:val="32"/>
        </w:rPr>
        <w:t>世界大学的排名将根据工作需要和评价平台的影响力适时调整。</w:t>
      </w:r>
    </w:p>
    <w:p>
      <w:pPr>
        <w:keepNext w:val="0"/>
        <w:keepLines w:val="0"/>
        <w:pageBreakBefore w:val="0"/>
        <w:widowControl/>
        <w:kinsoku/>
        <w:wordWrap/>
        <w:overflowPunct/>
        <w:topLinePunct w:val="0"/>
        <w:bidi w:val="0"/>
        <w:snapToGrid/>
        <w:ind w:firstLine="640" w:firstLineChars="200"/>
        <w:textAlignment w:val="auto"/>
        <w:rPr>
          <w:rFonts w:ascii="仿宋" w:hAnsi="仿宋" w:eastAsia="仿宋"/>
          <w:sz w:val="32"/>
          <w:szCs w:val="32"/>
        </w:rPr>
      </w:pP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 w:eastAsia="仿宋_GB2312" w:cs="仿宋"/>
          <w:kern w:val="0"/>
          <w:sz w:val="32"/>
          <w:szCs w:val="32"/>
        </w:rPr>
        <w:t>本办法自发布之日起执行，由组织人事处负责解释。</w:t>
      </w: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widowControl/>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pStyle w:val="2"/>
        <w:keepNext w:val="0"/>
        <w:keepLines w:val="0"/>
        <w:pageBreakBefore w:val="0"/>
        <w:kinsoku/>
        <w:wordWrap/>
        <w:overflowPunct/>
        <w:topLinePunct w:val="0"/>
        <w:bidi w:val="0"/>
        <w:snapToGrid/>
        <w:ind w:firstLine="422" w:firstLineChars="200"/>
        <w:textAlignment w:val="auto"/>
      </w:pPr>
    </w:p>
    <w:p>
      <w:pPr>
        <w:keepNext w:val="0"/>
        <w:keepLines w:val="0"/>
        <w:pageBreakBefore w:val="0"/>
        <w:kinsoku/>
        <w:wordWrap/>
        <w:overflowPunct/>
        <w:topLinePunct w:val="0"/>
        <w:bidi w:val="0"/>
        <w:snapToGrid/>
        <w:ind w:firstLine="420" w:firstLineChars="200"/>
        <w:textAlignment w:val="auto"/>
      </w:pPr>
    </w:p>
    <w:p>
      <w:pPr>
        <w:pStyle w:val="2"/>
        <w:keepNext w:val="0"/>
        <w:keepLines w:val="0"/>
        <w:pageBreakBefore w:val="0"/>
        <w:kinsoku/>
        <w:wordWrap/>
        <w:overflowPunct/>
        <w:topLinePunct w:val="0"/>
        <w:bidi w:val="0"/>
        <w:snapToGrid/>
        <w:ind w:firstLine="422" w:firstLineChars="200"/>
        <w:textAlignment w:val="auto"/>
      </w:pPr>
    </w:p>
    <w:p/>
    <w:p>
      <w:pPr>
        <w:jc w:val="center"/>
      </w:pPr>
      <w:r>
        <w:rPr>
          <w:rFonts w:hint="eastAsia" w:ascii="宋体" w:hAnsi="宋体"/>
          <w:b/>
          <w:sz w:val="36"/>
          <w:szCs w:val="36"/>
        </w:rPr>
        <w:t>承德应用技术职业学院教职工进修培训申请审批表</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1203"/>
        <w:gridCol w:w="1297"/>
        <w:gridCol w:w="329"/>
        <w:gridCol w:w="628"/>
        <w:gridCol w:w="307"/>
        <w:gridCol w:w="847"/>
        <w:gridCol w:w="298"/>
        <w:gridCol w:w="23"/>
        <w:gridCol w:w="124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760" w:type="dxa"/>
            <w:gridSpan w:val="11"/>
            <w:tcBorders>
              <w:top w:val="nil"/>
              <w:left w:val="nil"/>
              <w:right w:val="nil"/>
            </w:tcBorders>
            <w:vAlign w:val="center"/>
          </w:tcPr>
          <w:p>
            <w:pPr>
              <w:spacing w:line="400" w:lineRule="exact"/>
              <w:rPr>
                <w:rFonts w:hint="eastAsia" w:ascii="仿宋_GB2312" w:eastAsia="仿宋_GB2312"/>
                <w:sz w:val="24"/>
                <w:szCs w:val="24"/>
              </w:rPr>
            </w:pPr>
            <w:r>
              <w:rPr>
                <w:rFonts w:hint="eastAsia" w:ascii="仿宋_GB2312" w:eastAsia="仿宋_GB2312"/>
                <w:sz w:val="24"/>
                <w:szCs w:val="24"/>
              </w:rPr>
              <w:t>申请人联系电话：                                     申请人签字：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54"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姓   名</w:t>
            </w:r>
          </w:p>
        </w:tc>
        <w:tc>
          <w:tcPr>
            <w:tcW w:w="1203" w:type="dxa"/>
            <w:vAlign w:val="center"/>
          </w:tcPr>
          <w:p>
            <w:pPr>
              <w:spacing w:line="400" w:lineRule="exact"/>
              <w:jc w:val="center"/>
              <w:rPr>
                <w:rFonts w:hint="eastAsia" w:ascii="仿宋_GB2312" w:eastAsia="仿宋_GB2312"/>
                <w:sz w:val="24"/>
                <w:szCs w:val="24"/>
              </w:rPr>
            </w:pPr>
          </w:p>
        </w:tc>
        <w:tc>
          <w:tcPr>
            <w:tcW w:w="1297"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性    别</w:t>
            </w:r>
          </w:p>
        </w:tc>
        <w:tc>
          <w:tcPr>
            <w:tcW w:w="1264" w:type="dxa"/>
            <w:gridSpan w:val="3"/>
            <w:vAlign w:val="center"/>
          </w:tcPr>
          <w:p>
            <w:pPr>
              <w:spacing w:line="400" w:lineRule="exact"/>
              <w:jc w:val="center"/>
              <w:rPr>
                <w:rFonts w:hint="eastAsia" w:ascii="仿宋_GB2312" w:eastAsia="仿宋_GB2312"/>
                <w:sz w:val="24"/>
                <w:szCs w:val="24"/>
              </w:rPr>
            </w:pPr>
          </w:p>
        </w:tc>
        <w:tc>
          <w:tcPr>
            <w:tcW w:w="1168"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出生年月</w:t>
            </w:r>
          </w:p>
        </w:tc>
        <w:tc>
          <w:tcPr>
            <w:tcW w:w="1249" w:type="dxa"/>
            <w:vAlign w:val="center"/>
          </w:tcPr>
          <w:p>
            <w:pPr>
              <w:spacing w:line="400" w:lineRule="exact"/>
              <w:jc w:val="center"/>
              <w:rPr>
                <w:rFonts w:hint="eastAsia" w:ascii="仿宋_GB2312" w:eastAsia="仿宋_GB2312"/>
                <w:sz w:val="24"/>
                <w:szCs w:val="24"/>
              </w:rPr>
            </w:pPr>
          </w:p>
        </w:tc>
        <w:tc>
          <w:tcPr>
            <w:tcW w:w="1925" w:type="dxa"/>
            <w:vMerge w:val="restart"/>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照片(可电子版)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54"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籍   贯</w:t>
            </w:r>
          </w:p>
        </w:tc>
        <w:tc>
          <w:tcPr>
            <w:tcW w:w="1203" w:type="dxa"/>
            <w:vAlign w:val="center"/>
          </w:tcPr>
          <w:p>
            <w:pPr>
              <w:spacing w:line="400" w:lineRule="exact"/>
              <w:jc w:val="center"/>
              <w:rPr>
                <w:rFonts w:hint="eastAsia" w:ascii="仿宋_GB2312" w:eastAsia="仿宋_GB2312"/>
                <w:sz w:val="24"/>
                <w:szCs w:val="24"/>
              </w:rPr>
            </w:pPr>
          </w:p>
        </w:tc>
        <w:tc>
          <w:tcPr>
            <w:tcW w:w="1297"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民    族</w:t>
            </w:r>
          </w:p>
        </w:tc>
        <w:tc>
          <w:tcPr>
            <w:tcW w:w="1264" w:type="dxa"/>
            <w:gridSpan w:val="3"/>
            <w:vAlign w:val="center"/>
          </w:tcPr>
          <w:p>
            <w:pPr>
              <w:spacing w:line="400" w:lineRule="exact"/>
              <w:jc w:val="center"/>
              <w:rPr>
                <w:rFonts w:hint="eastAsia" w:ascii="仿宋_GB2312" w:eastAsia="仿宋_GB2312"/>
                <w:sz w:val="24"/>
                <w:szCs w:val="24"/>
              </w:rPr>
            </w:pPr>
          </w:p>
        </w:tc>
        <w:tc>
          <w:tcPr>
            <w:tcW w:w="1168"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政治面貌</w:t>
            </w:r>
          </w:p>
        </w:tc>
        <w:tc>
          <w:tcPr>
            <w:tcW w:w="1249" w:type="dxa"/>
            <w:vAlign w:val="center"/>
          </w:tcPr>
          <w:p>
            <w:pPr>
              <w:spacing w:line="400" w:lineRule="exact"/>
              <w:jc w:val="center"/>
              <w:rPr>
                <w:rFonts w:hint="eastAsia" w:ascii="仿宋_GB2312" w:eastAsia="仿宋_GB2312"/>
                <w:sz w:val="24"/>
                <w:szCs w:val="24"/>
              </w:rPr>
            </w:pPr>
          </w:p>
        </w:tc>
        <w:tc>
          <w:tcPr>
            <w:tcW w:w="1925" w:type="dxa"/>
            <w:vMerge w:val="continue"/>
            <w:vAlign w:val="center"/>
          </w:tcPr>
          <w:p>
            <w:pPr>
              <w:spacing w:line="400" w:lineRule="exact"/>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54"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现 工 作</w:t>
            </w:r>
          </w:p>
          <w:p>
            <w:pPr>
              <w:spacing w:line="400" w:lineRule="exact"/>
              <w:jc w:val="center"/>
              <w:rPr>
                <w:rFonts w:hint="eastAsia" w:ascii="仿宋_GB2312" w:eastAsia="仿宋_GB2312"/>
                <w:sz w:val="24"/>
                <w:szCs w:val="24"/>
              </w:rPr>
            </w:pPr>
            <w:r>
              <w:rPr>
                <w:rFonts w:hint="eastAsia" w:ascii="仿宋_GB2312" w:eastAsia="仿宋_GB2312"/>
                <w:sz w:val="24"/>
                <w:szCs w:val="24"/>
              </w:rPr>
              <w:t>部    门</w:t>
            </w:r>
          </w:p>
        </w:tc>
        <w:tc>
          <w:tcPr>
            <w:tcW w:w="1203" w:type="dxa"/>
            <w:vAlign w:val="center"/>
          </w:tcPr>
          <w:p>
            <w:pPr>
              <w:spacing w:line="400" w:lineRule="exact"/>
              <w:jc w:val="center"/>
              <w:rPr>
                <w:rFonts w:hint="eastAsia" w:ascii="仿宋_GB2312" w:eastAsia="仿宋_GB2312"/>
                <w:sz w:val="24"/>
                <w:szCs w:val="24"/>
              </w:rPr>
            </w:pPr>
          </w:p>
        </w:tc>
        <w:tc>
          <w:tcPr>
            <w:tcW w:w="1297"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职称/职务</w:t>
            </w:r>
          </w:p>
        </w:tc>
        <w:tc>
          <w:tcPr>
            <w:tcW w:w="1264" w:type="dxa"/>
            <w:gridSpan w:val="3"/>
            <w:vAlign w:val="center"/>
          </w:tcPr>
          <w:p>
            <w:pPr>
              <w:spacing w:line="400" w:lineRule="exact"/>
              <w:jc w:val="center"/>
              <w:rPr>
                <w:rFonts w:hint="eastAsia" w:ascii="仿宋_GB2312" w:eastAsia="仿宋_GB2312"/>
                <w:sz w:val="24"/>
                <w:szCs w:val="24"/>
              </w:rPr>
            </w:pPr>
          </w:p>
        </w:tc>
        <w:tc>
          <w:tcPr>
            <w:tcW w:w="1168"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婚姻状况</w:t>
            </w:r>
          </w:p>
        </w:tc>
        <w:tc>
          <w:tcPr>
            <w:tcW w:w="1249" w:type="dxa"/>
            <w:vAlign w:val="center"/>
          </w:tcPr>
          <w:p>
            <w:pPr>
              <w:spacing w:line="400" w:lineRule="exact"/>
              <w:jc w:val="center"/>
              <w:rPr>
                <w:rFonts w:hint="eastAsia" w:ascii="仿宋_GB2312" w:eastAsia="仿宋_GB2312"/>
                <w:sz w:val="24"/>
                <w:szCs w:val="24"/>
              </w:rPr>
            </w:pPr>
          </w:p>
        </w:tc>
        <w:tc>
          <w:tcPr>
            <w:tcW w:w="1925" w:type="dxa"/>
            <w:vMerge w:val="continue"/>
            <w:vAlign w:val="center"/>
          </w:tcPr>
          <w:p>
            <w:pPr>
              <w:spacing w:line="400" w:lineRule="exact"/>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654"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工作情况</w:t>
            </w:r>
          </w:p>
        </w:tc>
        <w:tc>
          <w:tcPr>
            <w:tcW w:w="8106" w:type="dxa"/>
            <w:gridSpan w:val="10"/>
          </w:tcPr>
          <w:p>
            <w:pPr>
              <w:spacing w:line="400" w:lineRule="exact"/>
              <w:rPr>
                <w:rFonts w:hint="eastAsia" w:ascii="仿宋_GB2312" w:eastAsia="仿宋_GB2312"/>
                <w:sz w:val="24"/>
                <w:szCs w:val="24"/>
              </w:rPr>
            </w:pPr>
            <w:r>
              <w:rPr>
                <w:rFonts w:hint="eastAsia" w:ascii="仿宋_GB2312" w:eastAsia="仿宋_GB2312"/>
                <w:sz w:val="24"/>
                <w:szCs w:val="24"/>
              </w:rPr>
              <w:t>到我院入职时间；现讲授课程及工作；所属专业群；周课时或工作量；兼任职务等工作开展情况。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4" w:type="dxa"/>
            <w:vMerge w:val="restart"/>
            <w:vAlign w:val="center"/>
          </w:tcPr>
          <w:p>
            <w:pPr>
              <w:spacing w:line="400" w:lineRule="exact"/>
              <w:rPr>
                <w:rFonts w:hint="eastAsia" w:ascii="仿宋_GB2312" w:eastAsia="仿宋_GB2312"/>
                <w:sz w:val="24"/>
                <w:szCs w:val="24"/>
              </w:rPr>
            </w:pPr>
            <w:r>
              <w:rPr>
                <w:rFonts w:hint="eastAsia" w:ascii="仿宋_GB2312" w:eastAsia="仿宋_GB2312"/>
                <w:sz w:val="24"/>
                <w:szCs w:val="24"/>
              </w:rPr>
              <w:t>全 日 制学习简历（从大学起填写）</w:t>
            </w:r>
          </w:p>
        </w:tc>
        <w:tc>
          <w:tcPr>
            <w:tcW w:w="1203"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起止时间</w:t>
            </w:r>
          </w:p>
        </w:tc>
        <w:tc>
          <w:tcPr>
            <w:tcW w:w="2254"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学    校</w:t>
            </w:r>
          </w:p>
        </w:tc>
        <w:tc>
          <w:tcPr>
            <w:tcW w:w="1452"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专业</w:t>
            </w:r>
          </w:p>
        </w:tc>
        <w:tc>
          <w:tcPr>
            <w:tcW w:w="1272" w:type="dxa"/>
            <w:gridSpan w:val="2"/>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学历</w:t>
            </w:r>
          </w:p>
        </w:tc>
        <w:tc>
          <w:tcPr>
            <w:tcW w:w="1925"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54" w:type="dxa"/>
            <w:vMerge w:val="continue"/>
            <w:vAlign w:val="center"/>
          </w:tcPr>
          <w:p>
            <w:pPr>
              <w:spacing w:line="400" w:lineRule="exact"/>
              <w:rPr>
                <w:rFonts w:hint="eastAsia" w:ascii="仿宋_GB2312" w:eastAsia="仿宋_GB2312"/>
                <w:sz w:val="24"/>
                <w:szCs w:val="24"/>
              </w:rPr>
            </w:pPr>
          </w:p>
        </w:tc>
        <w:tc>
          <w:tcPr>
            <w:tcW w:w="1203" w:type="dxa"/>
            <w:vAlign w:val="center"/>
          </w:tcPr>
          <w:p>
            <w:pPr>
              <w:spacing w:line="400" w:lineRule="exact"/>
              <w:jc w:val="center"/>
              <w:rPr>
                <w:rFonts w:hint="eastAsia" w:ascii="仿宋_GB2312" w:eastAsia="仿宋_GB2312"/>
                <w:sz w:val="24"/>
                <w:szCs w:val="24"/>
              </w:rPr>
            </w:pPr>
          </w:p>
        </w:tc>
        <w:tc>
          <w:tcPr>
            <w:tcW w:w="2254" w:type="dxa"/>
            <w:gridSpan w:val="3"/>
            <w:vAlign w:val="center"/>
          </w:tcPr>
          <w:p>
            <w:pPr>
              <w:spacing w:line="400" w:lineRule="exact"/>
              <w:jc w:val="center"/>
              <w:rPr>
                <w:rFonts w:hint="eastAsia" w:ascii="仿宋_GB2312" w:eastAsia="仿宋_GB2312"/>
                <w:sz w:val="24"/>
                <w:szCs w:val="24"/>
              </w:rPr>
            </w:pPr>
          </w:p>
        </w:tc>
        <w:tc>
          <w:tcPr>
            <w:tcW w:w="1452" w:type="dxa"/>
            <w:gridSpan w:val="3"/>
            <w:vAlign w:val="center"/>
          </w:tcPr>
          <w:p>
            <w:pPr>
              <w:spacing w:line="400" w:lineRule="exact"/>
              <w:jc w:val="center"/>
              <w:rPr>
                <w:rFonts w:hint="eastAsia" w:ascii="仿宋_GB2312" w:eastAsia="仿宋_GB2312"/>
                <w:sz w:val="24"/>
                <w:szCs w:val="24"/>
              </w:rPr>
            </w:pPr>
          </w:p>
        </w:tc>
        <w:tc>
          <w:tcPr>
            <w:tcW w:w="1272" w:type="dxa"/>
            <w:gridSpan w:val="2"/>
            <w:vAlign w:val="center"/>
          </w:tcPr>
          <w:p>
            <w:pPr>
              <w:spacing w:line="400" w:lineRule="exact"/>
              <w:jc w:val="center"/>
              <w:rPr>
                <w:rFonts w:hint="eastAsia" w:ascii="仿宋_GB2312" w:eastAsia="仿宋_GB2312"/>
                <w:sz w:val="24"/>
                <w:szCs w:val="24"/>
              </w:rPr>
            </w:pPr>
          </w:p>
        </w:tc>
        <w:tc>
          <w:tcPr>
            <w:tcW w:w="1925" w:type="dxa"/>
            <w:vAlign w:val="center"/>
          </w:tcPr>
          <w:p>
            <w:pPr>
              <w:spacing w:line="40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54" w:type="dxa"/>
            <w:vMerge w:val="continue"/>
            <w:vAlign w:val="center"/>
          </w:tcPr>
          <w:p>
            <w:pPr>
              <w:spacing w:line="400" w:lineRule="exact"/>
              <w:rPr>
                <w:rFonts w:hint="eastAsia" w:ascii="仿宋_GB2312" w:eastAsia="仿宋_GB2312"/>
                <w:sz w:val="24"/>
                <w:szCs w:val="24"/>
              </w:rPr>
            </w:pPr>
          </w:p>
        </w:tc>
        <w:tc>
          <w:tcPr>
            <w:tcW w:w="1203" w:type="dxa"/>
            <w:vAlign w:val="center"/>
          </w:tcPr>
          <w:p>
            <w:pPr>
              <w:spacing w:line="400" w:lineRule="exact"/>
              <w:jc w:val="center"/>
              <w:rPr>
                <w:rFonts w:hint="eastAsia" w:ascii="仿宋_GB2312" w:eastAsia="仿宋_GB2312"/>
                <w:sz w:val="24"/>
                <w:szCs w:val="24"/>
              </w:rPr>
            </w:pPr>
          </w:p>
        </w:tc>
        <w:tc>
          <w:tcPr>
            <w:tcW w:w="2254" w:type="dxa"/>
            <w:gridSpan w:val="3"/>
            <w:vAlign w:val="center"/>
          </w:tcPr>
          <w:p>
            <w:pPr>
              <w:spacing w:line="400" w:lineRule="exact"/>
              <w:jc w:val="center"/>
              <w:rPr>
                <w:rFonts w:hint="eastAsia" w:ascii="仿宋_GB2312" w:eastAsia="仿宋_GB2312"/>
                <w:sz w:val="24"/>
                <w:szCs w:val="24"/>
              </w:rPr>
            </w:pPr>
          </w:p>
        </w:tc>
        <w:tc>
          <w:tcPr>
            <w:tcW w:w="1452" w:type="dxa"/>
            <w:gridSpan w:val="3"/>
            <w:vAlign w:val="center"/>
          </w:tcPr>
          <w:p>
            <w:pPr>
              <w:spacing w:line="400" w:lineRule="exact"/>
              <w:jc w:val="center"/>
              <w:rPr>
                <w:rFonts w:hint="eastAsia" w:ascii="仿宋_GB2312" w:eastAsia="仿宋_GB2312"/>
                <w:sz w:val="24"/>
                <w:szCs w:val="24"/>
              </w:rPr>
            </w:pPr>
          </w:p>
        </w:tc>
        <w:tc>
          <w:tcPr>
            <w:tcW w:w="1272" w:type="dxa"/>
            <w:gridSpan w:val="2"/>
            <w:vAlign w:val="center"/>
          </w:tcPr>
          <w:p>
            <w:pPr>
              <w:spacing w:line="400" w:lineRule="exact"/>
              <w:jc w:val="center"/>
              <w:rPr>
                <w:rFonts w:hint="eastAsia" w:ascii="仿宋_GB2312" w:eastAsia="仿宋_GB2312"/>
                <w:sz w:val="24"/>
                <w:szCs w:val="24"/>
              </w:rPr>
            </w:pPr>
          </w:p>
        </w:tc>
        <w:tc>
          <w:tcPr>
            <w:tcW w:w="1925" w:type="dxa"/>
            <w:vAlign w:val="center"/>
          </w:tcPr>
          <w:p>
            <w:pPr>
              <w:spacing w:line="40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4" w:type="dxa"/>
            <w:vAlign w:val="center"/>
          </w:tcPr>
          <w:p>
            <w:pPr>
              <w:spacing w:line="400" w:lineRule="exact"/>
              <w:rPr>
                <w:rFonts w:hint="eastAsia" w:ascii="仿宋_GB2312" w:eastAsia="仿宋_GB2312"/>
                <w:sz w:val="24"/>
                <w:szCs w:val="24"/>
              </w:rPr>
            </w:pPr>
            <w:r>
              <w:rPr>
                <w:rFonts w:hint="eastAsia" w:ascii="仿宋_GB2312" w:eastAsia="仿宋_GB2312"/>
                <w:sz w:val="24"/>
                <w:szCs w:val="24"/>
              </w:rPr>
              <w:t>申请培训进修类别</w:t>
            </w:r>
          </w:p>
        </w:tc>
        <w:tc>
          <w:tcPr>
            <w:tcW w:w="8106" w:type="dxa"/>
            <w:gridSpan w:val="10"/>
          </w:tcPr>
          <w:p>
            <w:pPr>
              <w:spacing w:line="400" w:lineRule="exact"/>
              <w:rPr>
                <w:rFonts w:hint="eastAsia" w:ascii="仿宋_GB2312" w:eastAsia="仿宋_GB2312"/>
                <w:color w:val="FF0000"/>
                <w:sz w:val="24"/>
                <w:szCs w:val="24"/>
              </w:rPr>
            </w:pPr>
            <w:r>
              <w:rPr>
                <w:rFonts w:hint="eastAsia" w:ascii="仿宋_GB2312" w:eastAsia="仿宋_GB2312"/>
                <w:sz w:val="24"/>
                <w:szCs w:val="24"/>
              </w:rPr>
              <w:t>□博士后  □博士（定向委培）  □硕士  □出国进修  □国内进修  □国内访学  □国外访学  □讲学  □双师双能型培训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654" w:type="dxa"/>
            <w:vAlign w:val="center"/>
          </w:tcPr>
          <w:p>
            <w:pPr>
              <w:spacing w:line="400" w:lineRule="exact"/>
              <w:rPr>
                <w:rFonts w:hint="eastAsia" w:ascii="仿宋_GB2312" w:eastAsia="仿宋_GB2312"/>
                <w:sz w:val="24"/>
                <w:szCs w:val="24"/>
              </w:rPr>
            </w:pPr>
            <w:r>
              <w:rPr>
                <w:rFonts w:hint="eastAsia" w:ascii="仿宋_GB2312" w:eastAsia="仿宋_GB2312"/>
                <w:sz w:val="24"/>
                <w:szCs w:val="24"/>
              </w:rPr>
              <w:t>进修培训时间、地点、专业或内容</w:t>
            </w:r>
          </w:p>
        </w:tc>
        <w:tc>
          <w:tcPr>
            <w:tcW w:w="8106" w:type="dxa"/>
            <w:gridSpan w:val="10"/>
          </w:tcPr>
          <w:p>
            <w:pPr>
              <w:spacing w:line="400" w:lineRule="exact"/>
              <w:rPr>
                <w:rFonts w:hint="eastAsia" w:ascii="仿宋_GB2312" w:eastAsia="仿宋_GB2312"/>
                <w:sz w:val="24"/>
                <w:szCs w:val="24"/>
              </w:rPr>
            </w:pPr>
            <w:r>
              <w:rPr>
                <w:rFonts w:hint="eastAsia" w:ascii="仿宋_GB2312" w:eastAsia="仿宋_GB2312"/>
                <w:sz w:val="24"/>
                <w:szCs w:val="24"/>
              </w:rPr>
              <w:t>起止时间、进修单位、进修专业或内容；学制安排；计划脱产学习时间。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654" w:type="dxa"/>
            <w:vAlign w:val="center"/>
          </w:tcPr>
          <w:p>
            <w:pPr>
              <w:topLinePunct/>
              <w:spacing w:line="400" w:lineRule="exact"/>
              <w:jc w:val="center"/>
              <w:rPr>
                <w:rFonts w:hint="eastAsia" w:ascii="仿宋_GB2312" w:eastAsia="仿宋_GB2312"/>
                <w:sz w:val="24"/>
                <w:szCs w:val="24"/>
              </w:rPr>
            </w:pPr>
            <w:r>
              <w:rPr>
                <w:rFonts w:hint="eastAsia" w:ascii="仿宋_GB2312" w:eastAsia="仿宋_GB2312"/>
                <w:sz w:val="24"/>
                <w:szCs w:val="24"/>
              </w:rPr>
              <w:t>所在部门意见</w:t>
            </w:r>
          </w:p>
        </w:tc>
        <w:tc>
          <w:tcPr>
            <w:tcW w:w="2829" w:type="dxa"/>
            <w:gridSpan w:val="3"/>
            <w:vAlign w:val="bottom"/>
          </w:tcPr>
          <w:p>
            <w:pPr>
              <w:wordWrap w:val="0"/>
              <w:topLinePunct/>
              <w:spacing w:line="400" w:lineRule="exact"/>
              <w:jc w:val="left"/>
              <w:rPr>
                <w:rFonts w:hint="eastAsia" w:ascii="仿宋_GB2312" w:eastAsia="仿宋_GB2312"/>
                <w:sz w:val="24"/>
                <w:szCs w:val="24"/>
              </w:rPr>
            </w:pPr>
            <w:r>
              <w:rPr>
                <w:rFonts w:hint="eastAsia" w:ascii="仿宋_GB2312" w:eastAsia="仿宋_GB2312"/>
                <w:sz w:val="24"/>
                <w:szCs w:val="24"/>
              </w:rPr>
              <w:t xml:space="preserve">（公章）  签字：              年   月   日 </w:t>
            </w:r>
          </w:p>
        </w:tc>
        <w:tc>
          <w:tcPr>
            <w:tcW w:w="1782" w:type="dxa"/>
            <w:gridSpan w:val="3"/>
            <w:vAlign w:val="center"/>
          </w:tcPr>
          <w:p>
            <w:pPr>
              <w:topLinePunct/>
              <w:spacing w:line="400" w:lineRule="exact"/>
              <w:jc w:val="center"/>
              <w:rPr>
                <w:rFonts w:hint="eastAsia" w:ascii="仿宋_GB2312" w:eastAsia="仿宋_GB2312"/>
                <w:sz w:val="24"/>
                <w:szCs w:val="24"/>
              </w:rPr>
            </w:pPr>
            <w:r>
              <w:rPr>
                <w:rFonts w:hint="eastAsia" w:ascii="仿宋_GB2312" w:hAnsi="宋体" w:eastAsia="仿宋_GB2312" w:cs="Cambria"/>
                <w:sz w:val="24"/>
                <w:szCs w:val="24"/>
              </w:rPr>
              <w:t>主管本部门工作院领导意见</w:t>
            </w:r>
          </w:p>
        </w:tc>
        <w:tc>
          <w:tcPr>
            <w:tcW w:w="3495" w:type="dxa"/>
            <w:gridSpan w:val="4"/>
            <w:vAlign w:val="bottom"/>
          </w:tcPr>
          <w:p>
            <w:pPr>
              <w:wordWrap w:val="0"/>
              <w:topLinePunct/>
              <w:spacing w:line="400" w:lineRule="exact"/>
              <w:ind w:firstLine="1440" w:firstLineChars="600"/>
              <w:jc w:val="left"/>
              <w:rPr>
                <w:rFonts w:hint="eastAsia" w:ascii="仿宋_GB2312" w:eastAsia="仿宋_GB2312"/>
                <w:sz w:val="24"/>
                <w:szCs w:val="24"/>
              </w:rPr>
            </w:pPr>
            <w:r>
              <w:rPr>
                <w:rFonts w:hint="eastAsia" w:ascii="仿宋_GB2312" w:eastAsia="仿宋_GB2312"/>
                <w:sz w:val="24"/>
                <w:szCs w:val="24"/>
              </w:rPr>
              <w:t xml:space="preserve">签字：    </w:t>
            </w:r>
          </w:p>
          <w:p>
            <w:pPr>
              <w:wordWrap w:val="0"/>
              <w:topLinePunct/>
              <w:spacing w:line="400" w:lineRule="exact"/>
              <w:jc w:val="left"/>
              <w:rPr>
                <w:rFonts w:hint="eastAsia" w:ascii="仿宋_GB2312" w:eastAsia="仿宋_GB2312"/>
                <w:sz w:val="24"/>
                <w:szCs w:val="24"/>
              </w:rPr>
            </w:pPr>
            <w:r>
              <w:rPr>
                <w:rFonts w:hint="eastAsia" w:ascii="仿宋_GB2312"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654" w:type="dxa"/>
            <w:vAlign w:val="center"/>
          </w:tcPr>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学工处</w:t>
            </w:r>
          </w:p>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意见（用于专职辅导员）</w:t>
            </w:r>
          </w:p>
        </w:tc>
        <w:tc>
          <w:tcPr>
            <w:tcW w:w="2829" w:type="dxa"/>
            <w:gridSpan w:val="3"/>
            <w:vAlign w:val="bottom"/>
          </w:tcPr>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（公章）  签字：              年   月   日</w:t>
            </w:r>
          </w:p>
        </w:tc>
        <w:tc>
          <w:tcPr>
            <w:tcW w:w="1782" w:type="dxa"/>
            <w:gridSpan w:val="3"/>
            <w:vAlign w:val="center"/>
          </w:tcPr>
          <w:p>
            <w:pPr>
              <w:wordWrap w:val="0"/>
              <w:topLinePunct/>
              <w:spacing w:line="400" w:lineRule="exact"/>
              <w:jc w:val="center"/>
              <w:rPr>
                <w:rFonts w:hint="eastAsia" w:ascii="仿宋_GB2312" w:eastAsia="仿宋_GB2312"/>
                <w:color w:val="999999"/>
                <w:sz w:val="24"/>
                <w:szCs w:val="24"/>
              </w:rPr>
            </w:pPr>
            <w:r>
              <w:rPr>
                <w:rFonts w:hint="eastAsia" w:ascii="仿宋_GB2312" w:hAnsi="宋体" w:eastAsia="仿宋_GB2312" w:cs="Cambria"/>
                <w:sz w:val="24"/>
                <w:szCs w:val="24"/>
              </w:rPr>
              <w:t>主管学生工作院领导意见</w:t>
            </w:r>
          </w:p>
        </w:tc>
        <w:tc>
          <w:tcPr>
            <w:tcW w:w="3495" w:type="dxa"/>
            <w:gridSpan w:val="4"/>
            <w:vAlign w:val="bottom"/>
          </w:tcPr>
          <w:p>
            <w:pPr>
              <w:wordWrap w:val="0"/>
              <w:topLinePunct/>
              <w:spacing w:line="400" w:lineRule="exact"/>
              <w:ind w:firstLine="1440" w:firstLineChars="600"/>
              <w:jc w:val="left"/>
              <w:rPr>
                <w:rFonts w:hint="eastAsia" w:ascii="仿宋_GB2312" w:eastAsia="仿宋_GB2312"/>
                <w:sz w:val="24"/>
                <w:szCs w:val="24"/>
              </w:rPr>
            </w:pPr>
            <w:r>
              <w:rPr>
                <w:rFonts w:hint="eastAsia" w:ascii="仿宋_GB2312" w:eastAsia="仿宋_GB2312"/>
                <w:sz w:val="24"/>
                <w:szCs w:val="24"/>
              </w:rPr>
              <w:t xml:space="preserve">签字：    </w:t>
            </w:r>
          </w:p>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654" w:type="dxa"/>
            <w:vAlign w:val="center"/>
          </w:tcPr>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教务处</w:t>
            </w:r>
          </w:p>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意见</w:t>
            </w:r>
          </w:p>
        </w:tc>
        <w:tc>
          <w:tcPr>
            <w:tcW w:w="2829" w:type="dxa"/>
            <w:gridSpan w:val="3"/>
            <w:vAlign w:val="bottom"/>
          </w:tcPr>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（公章）  签字：              年   月   日</w:t>
            </w:r>
          </w:p>
        </w:tc>
        <w:tc>
          <w:tcPr>
            <w:tcW w:w="1782" w:type="dxa"/>
            <w:gridSpan w:val="3"/>
            <w:vAlign w:val="center"/>
          </w:tcPr>
          <w:p>
            <w:pPr>
              <w:wordWrap w:val="0"/>
              <w:topLinePunct/>
              <w:spacing w:line="400" w:lineRule="exact"/>
              <w:jc w:val="center"/>
              <w:rPr>
                <w:rFonts w:hint="eastAsia" w:ascii="仿宋_GB2312" w:eastAsia="仿宋_GB2312"/>
                <w:color w:val="999999"/>
                <w:sz w:val="24"/>
                <w:szCs w:val="24"/>
              </w:rPr>
            </w:pPr>
            <w:r>
              <w:rPr>
                <w:rFonts w:hint="eastAsia" w:ascii="仿宋_GB2312" w:hAnsi="宋体" w:eastAsia="仿宋_GB2312" w:cs="Cambria"/>
                <w:sz w:val="24"/>
                <w:szCs w:val="24"/>
              </w:rPr>
              <w:t>主管教务工作院领导意见</w:t>
            </w:r>
          </w:p>
        </w:tc>
        <w:tc>
          <w:tcPr>
            <w:tcW w:w="3495" w:type="dxa"/>
            <w:gridSpan w:val="4"/>
            <w:vAlign w:val="bottom"/>
          </w:tcPr>
          <w:p>
            <w:pPr>
              <w:wordWrap w:val="0"/>
              <w:topLinePunct/>
              <w:spacing w:line="400" w:lineRule="exact"/>
              <w:ind w:firstLine="1440" w:firstLineChars="600"/>
              <w:jc w:val="left"/>
              <w:rPr>
                <w:rFonts w:hint="eastAsia" w:ascii="仿宋_GB2312" w:eastAsia="仿宋_GB2312"/>
                <w:sz w:val="24"/>
                <w:szCs w:val="24"/>
              </w:rPr>
            </w:pPr>
            <w:r>
              <w:rPr>
                <w:rFonts w:hint="eastAsia" w:ascii="仿宋_GB2312" w:eastAsia="仿宋_GB2312"/>
                <w:sz w:val="24"/>
                <w:szCs w:val="24"/>
              </w:rPr>
              <w:t xml:space="preserve">签字：    </w:t>
            </w:r>
          </w:p>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654" w:type="dxa"/>
            <w:vAlign w:val="center"/>
          </w:tcPr>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组织人事处</w:t>
            </w:r>
          </w:p>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意见</w:t>
            </w:r>
          </w:p>
        </w:tc>
        <w:tc>
          <w:tcPr>
            <w:tcW w:w="2829" w:type="dxa"/>
            <w:gridSpan w:val="3"/>
            <w:vAlign w:val="bottom"/>
          </w:tcPr>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（公章）  签字：              年   月   日</w:t>
            </w:r>
          </w:p>
        </w:tc>
        <w:tc>
          <w:tcPr>
            <w:tcW w:w="1782" w:type="dxa"/>
            <w:gridSpan w:val="3"/>
            <w:vAlign w:val="center"/>
          </w:tcPr>
          <w:p>
            <w:pPr>
              <w:wordWrap w:val="0"/>
              <w:topLinePunct/>
              <w:spacing w:line="400" w:lineRule="exact"/>
              <w:jc w:val="center"/>
              <w:rPr>
                <w:rFonts w:hint="eastAsia" w:ascii="仿宋_GB2312" w:eastAsia="仿宋_GB2312"/>
                <w:color w:val="999999"/>
                <w:sz w:val="24"/>
                <w:szCs w:val="24"/>
              </w:rPr>
            </w:pPr>
            <w:r>
              <w:rPr>
                <w:rFonts w:hint="eastAsia" w:ascii="仿宋_GB2312" w:hAnsi="宋体" w:eastAsia="仿宋_GB2312" w:cs="Cambria"/>
                <w:sz w:val="24"/>
                <w:szCs w:val="24"/>
              </w:rPr>
              <w:t>主管人事工作院领导意见</w:t>
            </w:r>
          </w:p>
        </w:tc>
        <w:tc>
          <w:tcPr>
            <w:tcW w:w="3495" w:type="dxa"/>
            <w:gridSpan w:val="4"/>
            <w:vAlign w:val="bottom"/>
          </w:tcPr>
          <w:p>
            <w:pPr>
              <w:wordWrap w:val="0"/>
              <w:topLinePunct/>
              <w:spacing w:line="400" w:lineRule="exact"/>
              <w:ind w:firstLine="1440" w:firstLineChars="600"/>
              <w:jc w:val="left"/>
              <w:rPr>
                <w:rFonts w:hint="eastAsia" w:ascii="仿宋_GB2312" w:eastAsia="仿宋_GB2312"/>
                <w:sz w:val="24"/>
                <w:szCs w:val="24"/>
              </w:rPr>
            </w:pPr>
            <w:r>
              <w:rPr>
                <w:rFonts w:hint="eastAsia" w:ascii="仿宋_GB2312" w:eastAsia="仿宋_GB2312"/>
                <w:sz w:val="24"/>
                <w:szCs w:val="24"/>
              </w:rPr>
              <w:t xml:space="preserve">签字：    </w:t>
            </w:r>
          </w:p>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 xml:space="preserve">         年   月   日</w:t>
            </w:r>
          </w:p>
        </w:tc>
      </w:tr>
    </w:tbl>
    <w:p>
      <w:pPr>
        <w:spacing w:line="240" w:lineRule="auto"/>
        <w:rPr>
          <w:rFonts w:ascii="仿宋" w:hAnsi="仿宋" w:eastAsia="仿宋"/>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32"/>
                              <w:highlight w:val="none"/>
                            </w:rPr>
                          </w:pPr>
                          <w:r>
                            <w:rPr>
                              <w:sz w:val="32"/>
                              <w:szCs w:val="32"/>
                              <w:highlight w:val="none"/>
                            </w:rPr>
                            <w:t xml:space="preserve">— </w:t>
                          </w:r>
                          <w:r>
                            <w:rPr>
                              <w:sz w:val="32"/>
                              <w:szCs w:val="32"/>
                              <w:highlight w:val="none"/>
                            </w:rPr>
                            <w:fldChar w:fldCharType="begin"/>
                          </w:r>
                          <w:r>
                            <w:rPr>
                              <w:sz w:val="32"/>
                              <w:szCs w:val="32"/>
                              <w:highlight w:val="none"/>
                            </w:rPr>
                            <w:instrText xml:space="preserve"> PAGE  \* MERGEFORMAT </w:instrText>
                          </w:r>
                          <w:r>
                            <w:rPr>
                              <w:sz w:val="32"/>
                              <w:szCs w:val="32"/>
                              <w:highlight w:val="none"/>
                            </w:rPr>
                            <w:fldChar w:fldCharType="separate"/>
                          </w:r>
                          <w:r>
                            <w:rPr>
                              <w:sz w:val="32"/>
                              <w:szCs w:val="32"/>
                              <w:highlight w:val="none"/>
                            </w:rPr>
                            <w:t>2</w:t>
                          </w:r>
                          <w:r>
                            <w:rPr>
                              <w:sz w:val="32"/>
                              <w:szCs w:val="32"/>
                              <w:highlight w:val="none"/>
                            </w:rPr>
                            <w:fldChar w:fldCharType="end"/>
                          </w:r>
                          <w:r>
                            <w:rPr>
                              <w:sz w:val="32"/>
                              <w:szCs w:val="32"/>
                              <w:highlight w:val="non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32"/>
                        <w:szCs w:val="32"/>
                        <w:highlight w:val="none"/>
                      </w:rPr>
                    </w:pPr>
                    <w:r>
                      <w:rPr>
                        <w:sz w:val="32"/>
                        <w:szCs w:val="32"/>
                        <w:highlight w:val="none"/>
                      </w:rPr>
                      <w:t xml:space="preserve">— </w:t>
                    </w:r>
                    <w:r>
                      <w:rPr>
                        <w:sz w:val="32"/>
                        <w:szCs w:val="32"/>
                        <w:highlight w:val="none"/>
                      </w:rPr>
                      <w:fldChar w:fldCharType="begin"/>
                    </w:r>
                    <w:r>
                      <w:rPr>
                        <w:sz w:val="32"/>
                        <w:szCs w:val="32"/>
                        <w:highlight w:val="none"/>
                      </w:rPr>
                      <w:instrText xml:space="preserve"> PAGE  \* MERGEFORMAT </w:instrText>
                    </w:r>
                    <w:r>
                      <w:rPr>
                        <w:sz w:val="32"/>
                        <w:szCs w:val="32"/>
                        <w:highlight w:val="none"/>
                      </w:rPr>
                      <w:fldChar w:fldCharType="separate"/>
                    </w:r>
                    <w:r>
                      <w:rPr>
                        <w:sz w:val="32"/>
                        <w:szCs w:val="32"/>
                        <w:highlight w:val="none"/>
                      </w:rPr>
                      <w:t>2</w:t>
                    </w:r>
                    <w:r>
                      <w:rPr>
                        <w:sz w:val="32"/>
                        <w:szCs w:val="32"/>
                        <w:highlight w:val="none"/>
                      </w:rPr>
                      <w:fldChar w:fldCharType="end"/>
                    </w:r>
                    <w:r>
                      <w:rPr>
                        <w:sz w:val="32"/>
                        <w:szCs w:val="32"/>
                        <w:highlight w:val="none"/>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ZDlkZjBhNjgwMjVjZWQ4MTMzMDFjNTE2ZDIzMGQifQ=="/>
  </w:docVars>
  <w:rsids>
    <w:rsidRoot w:val="00374192"/>
    <w:rsid w:val="00050C60"/>
    <w:rsid w:val="000B7720"/>
    <w:rsid w:val="00157E9F"/>
    <w:rsid w:val="001C054B"/>
    <w:rsid w:val="00292729"/>
    <w:rsid w:val="00374192"/>
    <w:rsid w:val="004B135F"/>
    <w:rsid w:val="005C1B2F"/>
    <w:rsid w:val="005D3230"/>
    <w:rsid w:val="009439A5"/>
    <w:rsid w:val="009A0057"/>
    <w:rsid w:val="009A6DD7"/>
    <w:rsid w:val="009E4F19"/>
    <w:rsid w:val="00B5639B"/>
    <w:rsid w:val="00DA6A8E"/>
    <w:rsid w:val="00DB4A12"/>
    <w:rsid w:val="00F808DA"/>
    <w:rsid w:val="00FC1D3D"/>
    <w:rsid w:val="02A926DE"/>
    <w:rsid w:val="031A6E39"/>
    <w:rsid w:val="0656700C"/>
    <w:rsid w:val="07266C48"/>
    <w:rsid w:val="07AA2A7A"/>
    <w:rsid w:val="0AB67731"/>
    <w:rsid w:val="0E43752E"/>
    <w:rsid w:val="138E589E"/>
    <w:rsid w:val="162172D7"/>
    <w:rsid w:val="19636CD6"/>
    <w:rsid w:val="1C5046B9"/>
    <w:rsid w:val="21B076D5"/>
    <w:rsid w:val="23176663"/>
    <w:rsid w:val="25461985"/>
    <w:rsid w:val="289B187C"/>
    <w:rsid w:val="2A2A3F71"/>
    <w:rsid w:val="2AE16896"/>
    <w:rsid w:val="2D935106"/>
    <w:rsid w:val="2F420298"/>
    <w:rsid w:val="2F744A96"/>
    <w:rsid w:val="31F5271A"/>
    <w:rsid w:val="330C1FC0"/>
    <w:rsid w:val="35F8354B"/>
    <w:rsid w:val="363B2715"/>
    <w:rsid w:val="3AD2116E"/>
    <w:rsid w:val="3C870D50"/>
    <w:rsid w:val="3E3A5E60"/>
    <w:rsid w:val="3F543DD2"/>
    <w:rsid w:val="3FD4427F"/>
    <w:rsid w:val="41D2518C"/>
    <w:rsid w:val="41F42A34"/>
    <w:rsid w:val="42FB6BF8"/>
    <w:rsid w:val="49437E06"/>
    <w:rsid w:val="4A4C4A99"/>
    <w:rsid w:val="4E9904C8"/>
    <w:rsid w:val="570D68BE"/>
    <w:rsid w:val="5A6052B9"/>
    <w:rsid w:val="5F282076"/>
    <w:rsid w:val="60545FFD"/>
    <w:rsid w:val="632A0569"/>
    <w:rsid w:val="638766EA"/>
    <w:rsid w:val="65564081"/>
    <w:rsid w:val="65E24A26"/>
    <w:rsid w:val="6EE25560"/>
    <w:rsid w:val="70324099"/>
    <w:rsid w:val="717C5325"/>
    <w:rsid w:val="71F17B50"/>
    <w:rsid w:val="735F6D3B"/>
    <w:rsid w:val="750D185B"/>
    <w:rsid w:val="760A4437"/>
    <w:rsid w:val="7AE31DA6"/>
    <w:rsid w:val="7B95614B"/>
    <w:rsid w:val="7FA049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脚 Char"/>
    <w:basedOn w:val="7"/>
    <w:link w:val="3"/>
    <w:qFormat/>
    <w:uiPriority w:val="99"/>
    <w:rPr>
      <w:rFonts w:cs="Times New Roman"/>
      <w:sz w:val="18"/>
      <w:szCs w:val="18"/>
    </w:rPr>
  </w:style>
  <w:style w:type="character" w:customStyle="1" w:styleId="9">
    <w:name w:val="页眉 Char"/>
    <w:basedOn w:val="7"/>
    <w:link w:val="4"/>
    <w:qFormat/>
    <w:uiPriority w:val="99"/>
    <w:rPr>
      <w:rFonts w:cs="Times New Roman"/>
      <w:sz w:val="18"/>
      <w:szCs w:val="18"/>
    </w:rPr>
  </w:style>
  <w:style w:type="paragraph" w:customStyle="1" w:styleId="10">
    <w:name w:val="Default"/>
    <w:qFormat/>
    <w:uiPriority w:val="99"/>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2615</Words>
  <Characters>2664</Characters>
  <Lines>3</Lines>
  <Paragraphs>5</Paragraphs>
  <TotalTime>37</TotalTime>
  <ScaleCrop>false</ScaleCrop>
  <LinksUpToDate>false</LinksUpToDate>
  <CharactersWithSpaces>2942</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2023-02-16T09:22:00Z</dcterms:created>
  <dc:creator>Administrator</dc:creator>
  <cp:lastModifiedBy>宋</cp:lastModifiedBy>
  <cp:lastPrinted>2023-01-10T05:16:00Z</cp:lastPrinted>
  <dcterms:modified xsi:type="dcterms:W3CDTF">2023-02-21T02:46:52Z</dcterms:modified>
  <dc:title>承德应用技术职业学院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C7676ADD34564FF89DD4318B8E9EFDE9</vt:lpwstr>
  </property>
  <property fmtid="{D5CDD505-2E9C-101B-9397-08002B2CF9AE}" pid="4" name="commondata">
    <vt:lpwstr>eyJoZGlkIjoiNmFmNTFiMjlhZGNhNmEwY2Y5MjM4YjdjNmRlNzYwNTAifQ==</vt:lpwstr>
  </property>
</Properties>
</file>