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b w:val="0"/>
          <w:bCs w:val="0"/>
          <w:color w:val="auto"/>
          <w:sz w:val="44"/>
          <w:szCs w:val="44"/>
        </w:rPr>
      </w:pPr>
      <w:bookmarkStart w:id="0" w:name="_Toc42168457"/>
      <w:bookmarkStart w:id="1" w:name="_Toc497895522"/>
      <w:r>
        <w:rPr>
          <w:rFonts w:hint="eastAsia" w:ascii="方正小标宋简体" w:hAnsi="方正小标宋简体" w:eastAsia="方正小标宋简体" w:cs="方正小标宋简体"/>
          <w:b w:val="0"/>
          <w:bCs w:val="0"/>
          <w:color w:val="auto"/>
          <w:sz w:val="44"/>
          <w:szCs w:val="44"/>
        </w:rPr>
        <w:t>承德应用技术职业学院</w:t>
      </w:r>
      <w:bookmarkEnd w:id="0"/>
      <w:bookmarkStart w:id="2" w:name="_Toc42168458"/>
      <w:r>
        <w:rPr>
          <w:rFonts w:hint="eastAsia" w:ascii="方正小标宋简体" w:hAnsi="方正小标宋简体" w:eastAsia="方正小标宋简体" w:cs="方正小标宋简体"/>
          <w:b w:val="0"/>
          <w:bCs w:val="0"/>
          <w:color w:val="auto"/>
          <w:sz w:val="44"/>
          <w:szCs w:val="44"/>
        </w:rPr>
        <w:t>差旅费管理办法</w:t>
      </w:r>
      <w:bookmarkEnd w:id="1"/>
      <w:bookmarkEnd w:id="2"/>
    </w:p>
    <w:p>
      <w:pPr>
        <w:keepNext w:val="0"/>
        <w:keepLines w:val="0"/>
        <w:pageBreakBefore w:val="0"/>
        <w:kinsoku/>
        <w:wordWrap/>
        <w:overflowPunct/>
        <w:topLinePunct w:val="0"/>
        <w:autoSpaceDE/>
        <w:autoSpaceDN/>
        <w:bidi w:val="0"/>
        <w:adjustRightInd w:val="0"/>
        <w:snapToGrid w:val="0"/>
        <w:spacing w:beforeLines="100" w:afterLines="100"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FangSong_GB2312" w:eastAsia="FangSong_GB2312" w:cs="宋体"/>
          <w:color w:val="auto"/>
          <w:kern w:val="0"/>
          <w:sz w:val="32"/>
          <w:szCs w:val="32"/>
        </w:rPr>
      </w:pPr>
      <w:r>
        <w:rPr>
          <w:rFonts w:hint="eastAsia" w:ascii="FangSong_GB2312" w:eastAsia="FangSong_GB2312"/>
          <w:b/>
          <w:color w:val="auto"/>
          <w:sz w:val="32"/>
          <w:szCs w:val="32"/>
        </w:rPr>
        <w:t>第一条</w:t>
      </w:r>
      <w:r>
        <w:rPr>
          <w:rFonts w:hint="eastAsia" w:ascii="FangSong_GB2312" w:eastAsia="FangSong_GB2312"/>
          <w:color w:val="auto"/>
          <w:sz w:val="32"/>
          <w:szCs w:val="32"/>
        </w:rPr>
        <w:t xml:space="preserve"> 为加强和规范国内差旅费管理，推进厉行节约反对浪费制度建设，参照《承德</w:t>
      </w:r>
      <w:bookmarkStart w:id="3" w:name="_GoBack"/>
      <w:bookmarkEnd w:id="3"/>
      <w:r>
        <w:rPr>
          <w:rFonts w:hint="eastAsia" w:ascii="FangSong_GB2312" w:eastAsia="FangSong_GB2312"/>
          <w:color w:val="auto"/>
          <w:sz w:val="32"/>
          <w:szCs w:val="32"/>
        </w:rPr>
        <w:t>市财政局关于印发〈承德市市级机关差旅费管理办法〉的通知》（承财行[2014]75号）、《承德市财政局〈关于调整市级机关差旅住宿费标准等问题〉的通知》（承财行[2016]11号）、《承德市财政局〈关于承德市市级机关差旅费管理办法有关问题的补充通知〉》（承财行[2018]39号）、《承德市财政局 承德市机关事务管理局〈关于规范差旅伙食费和市内交通费收交管理有关事项的通知〉》（承财行[2019]102号）的有关规定，结合我院实际，制定本办法。</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FangSong_GB2312" w:eastAsia="FangSong_GB2312" w:cs="宋体"/>
          <w:color w:val="auto"/>
          <w:kern w:val="0"/>
          <w:sz w:val="32"/>
          <w:szCs w:val="32"/>
        </w:rPr>
      </w:pPr>
      <w:r>
        <w:rPr>
          <w:rFonts w:hint="eastAsia" w:ascii="FangSong_GB2312" w:eastAsia="FangSong_GB2312"/>
          <w:b/>
          <w:color w:val="auto"/>
          <w:sz w:val="32"/>
          <w:szCs w:val="32"/>
        </w:rPr>
        <w:t>第二条</w:t>
      </w:r>
      <w:r>
        <w:rPr>
          <w:rFonts w:hint="eastAsia" w:ascii="FangSong_GB2312" w:eastAsia="FangSong_GB2312"/>
          <w:color w:val="auto"/>
          <w:sz w:val="32"/>
          <w:szCs w:val="32"/>
        </w:rPr>
        <w:t xml:space="preserve"> 本办法适用于我院各级部门。 </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FangSong_GB2312" w:eastAsia="FangSong_GB2312" w:cs="宋体"/>
          <w:color w:val="auto"/>
          <w:kern w:val="0"/>
          <w:sz w:val="32"/>
          <w:szCs w:val="32"/>
        </w:rPr>
      </w:pPr>
      <w:r>
        <w:rPr>
          <w:rFonts w:hint="eastAsia" w:ascii="FangSong_GB2312" w:eastAsia="FangSong_GB2312"/>
          <w:b/>
          <w:color w:val="auto"/>
          <w:sz w:val="32"/>
          <w:szCs w:val="32"/>
        </w:rPr>
        <w:t>第三条</w:t>
      </w:r>
      <w:r>
        <w:rPr>
          <w:rFonts w:hint="eastAsia" w:ascii="FangSong_GB2312" w:eastAsia="FangSong_GB2312"/>
          <w:color w:val="auto"/>
          <w:sz w:val="32"/>
          <w:szCs w:val="32"/>
        </w:rPr>
        <w:t xml:space="preserve"> 差旅费是指学院工作人员临时到常驻地（双桥区、高新区）以外地区公务出差所发生的城市间交通费、住宿费、伙食补助费和市内交通费。</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FangSong_GB2312" w:eastAsia="FangSong_GB2312" w:cs="宋体"/>
          <w:color w:val="auto"/>
          <w:kern w:val="0"/>
          <w:sz w:val="32"/>
          <w:szCs w:val="32"/>
        </w:rPr>
      </w:pPr>
      <w:r>
        <w:rPr>
          <w:rFonts w:hint="eastAsia" w:ascii="FangSong_GB2312" w:eastAsia="FangSong_GB2312"/>
          <w:b/>
          <w:color w:val="auto"/>
          <w:sz w:val="32"/>
          <w:szCs w:val="32"/>
        </w:rPr>
        <w:t>第四条</w:t>
      </w:r>
      <w:r>
        <w:rPr>
          <w:rFonts w:hint="eastAsia" w:ascii="FangSong_GB2312" w:eastAsia="FangSong_GB2312"/>
          <w:color w:val="auto"/>
          <w:sz w:val="32"/>
          <w:szCs w:val="32"/>
        </w:rPr>
        <w:t xml:space="preserve"> 出差必须按规定报经学院有关领导批准，从严控制出差人数和天数；严格差旅费预算管理，控制差旅费规模；严禁无实质内容、无明确公务目的的差旅活动，严禁以任何名义和方式变相旅游，严禁异地部门间无实质内容的学习交流和考核调研。</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FangSong_GB2312" w:eastAsia="FangSong_GB2312" w:cs="宋体"/>
          <w:color w:val="auto"/>
          <w:kern w:val="0"/>
          <w:sz w:val="32"/>
          <w:szCs w:val="32"/>
        </w:rPr>
      </w:pPr>
      <w:r>
        <w:rPr>
          <w:rFonts w:hint="eastAsia" w:ascii="FangSong_GB2312" w:eastAsia="FangSong_GB2312"/>
          <w:b/>
          <w:color w:val="auto"/>
          <w:sz w:val="32"/>
          <w:szCs w:val="32"/>
        </w:rPr>
        <w:t xml:space="preserve">第五条 </w:t>
      </w:r>
      <w:r>
        <w:rPr>
          <w:rFonts w:hint="eastAsia" w:ascii="FangSong_GB2312" w:eastAsia="FangSong_GB2312"/>
          <w:color w:val="auto"/>
          <w:sz w:val="32"/>
          <w:szCs w:val="32"/>
        </w:rPr>
        <w:t>各部门要加强对出差的审批与管理，严肃财经纪律，加强廉政建设，不得以各种形式转嫁差旅费。</w:t>
      </w:r>
    </w:p>
    <w:p>
      <w:pPr>
        <w:keepNext w:val="0"/>
        <w:keepLines w:val="0"/>
        <w:pageBreakBefore w:val="0"/>
        <w:kinsoku/>
        <w:wordWrap/>
        <w:overflowPunct/>
        <w:topLinePunct w:val="0"/>
        <w:autoSpaceDE/>
        <w:autoSpaceDN/>
        <w:bidi w:val="0"/>
        <w:adjustRightInd w:val="0"/>
        <w:snapToGrid w:val="0"/>
        <w:spacing w:beforeLines="100" w:afterLines="10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第二章 城市间交通费</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eastAsia="FangSong_GB2312" w:cs="宋体"/>
          <w:color w:val="auto"/>
          <w:spacing w:val="-22"/>
          <w:kern w:val="0"/>
          <w:sz w:val="32"/>
          <w:szCs w:val="32"/>
        </w:rPr>
      </w:pPr>
      <w:r>
        <w:rPr>
          <w:rFonts w:hint="eastAsia" w:eastAsia="FangSong_GB2312"/>
          <w:b/>
          <w:color w:val="auto"/>
          <w:sz w:val="32"/>
          <w:szCs w:val="32"/>
        </w:rPr>
        <w:t xml:space="preserve">    第六条</w:t>
      </w:r>
      <w:r>
        <w:rPr>
          <w:rFonts w:hint="eastAsia" w:eastAsia="FangSong_GB2312"/>
          <w:color w:val="auto"/>
          <w:spacing w:val="-12"/>
          <w:sz w:val="32"/>
          <w:szCs w:val="32"/>
        </w:rPr>
        <w:t>城市间交通费是指工作人员因公到常驻地以外地区出差乘坐火车、轮船、飞机等交通工具所发生的城市间交通费用。</w:t>
      </w:r>
    </w:p>
    <w:p>
      <w:pPr>
        <w:keepNext w:val="0"/>
        <w:keepLines w:val="0"/>
        <w:pageBreakBefore w:val="0"/>
        <w:kinsoku/>
        <w:wordWrap/>
        <w:overflowPunct/>
        <w:topLinePunct w:val="0"/>
        <w:autoSpaceDE/>
        <w:autoSpaceDN/>
        <w:bidi w:val="0"/>
        <w:adjustRightInd w:val="0"/>
        <w:snapToGrid w:val="0"/>
        <w:spacing w:line="560" w:lineRule="exact"/>
        <w:ind w:firstLine="630" w:firstLineChars="196"/>
        <w:textAlignment w:val="auto"/>
        <w:rPr>
          <w:rFonts w:eastAsia="FangSong_GB2312"/>
          <w:color w:val="auto"/>
          <w:sz w:val="32"/>
          <w:szCs w:val="32"/>
        </w:rPr>
      </w:pPr>
      <w:r>
        <w:rPr>
          <w:rFonts w:hint="eastAsia" w:eastAsia="FangSong_GB2312"/>
          <w:b/>
          <w:color w:val="auto"/>
          <w:sz w:val="32"/>
          <w:szCs w:val="32"/>
        </w:rPr>
        <w:t>第七条</w:t>
      </w:r>
      <w:r>
        <w:rPr>
          <w:rFonts w:hint="eastAsia" w:eastAsia="FangSong_GB2312"/>
          <w:color w:val="auto"/>
          <w:sz w:val="32"/>
          <w:szCs w:val="32"/>
        </w:rPr>
        <w:t>出差人员要按照规定等级乘坐交通工具，凭据报销城市间交通费。出差人员乘坐交通工具的等级见下表：</w:t>
      </w:r>
    </w:p>
    <w:p>
      <w:pPr>
        <w:keepNext w:val="0"/>
        <w:keepLines w:val="0"/>
        <w:pageBreakBefore w:val="0"/>
        <w:kinsoku/>
        <w:wordWrap/>
        <w:overflowPunct/>
        <w:topLinePunct w:val="0"/>
        <w:autoSpaceDE/>
        <w:autoSpaceDN/>
        <w:bidi w:val="0"/>
        <w:adjustRightInd w:val="0"/>
        <w:snapToGrid w:val="0"/>
        <w:spacing w:line="560" w:lineRule="exact"/>
        <w:ind w:firstLine="627" w:firstLineChars="196"/>
        <w:textAlignment w:val="auto"/>
        <w:rPr>
          <w:rFonts w:eastAsia="FangSong_GB2312" w:cs="宋体"/>
          <w:color w:val="auto"/>
          <w:kern w:val="0"/>
          <w:sz w:val="32"/>
          <w:szCs w:val="32"/>
        </w:rPr>
      </w:pPr>
    </w:p>
    <w:tbl>
      <w:tblPr>
        <w:tblStyle w:val="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843"/>
        <w:gridCol w:w="1559"/>
        <w:gridCol w:w="1336"/>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85" w:type="dxa"/>
            <w:tcBorders>
              <w:tl2br w:val="single" w:color="auto" w:sz="4" w:space="0"/>
            </w:tcBorders>
          </w:tcPr>
          <w:p>
            <w:pPr>
              <w:keepNext w:val="0"/>
              <w:keepLines w:val="0"/>
              <w:pageBreakBefore w:val="0"/>
              <w:widowControl/>
              <w:kinsoku/>
              <w:wordWrap/>
              <w:overflowPunct/>
              <w:topLinePunct w:val="0"/>
              <w:autoSpaceDE/>
              <w:autoSpaceDN/>
              <w:bidi w:val="0"/>
              <w:adjustRightInd w:val="0"/>
              <w:snapToGrid w:val="0"/>
              <w:spacing w:line="560" w:lineRule="exact"/>
              <w:ind w:left="361" w:hanging="422" w:hangingChars="150"/>
              <w:jc w:val="left"/>
              <w:textAlignment w:val="auto"/>
              <w:rPr>
                <w:rFonts w:eastAsia="FangSong_GB2312" w:cs="宋体"/>
                <w:b/>
                <w:color w:val="auto"/>
                <w:kern w:val="0"/>
                <w:sz w:val="28"/>
                <w:szCs w:val="28"/>
              </w:rPr>
            </w:pPr>
            <w:r>
              <w:rPr>
                <w:rFonts w:hint="eastAsia" w:eastAsia="FangSong_GB2312" w:cs="宋体"/>
                <w:b/>
                <w:color w:val="auto"/>
                <w:kern w:val="0"/>
                <w:sz w:val="28"/>
                <w:szCs w:val="28"/>
              </w:rPr>
              <w:t>交通工具</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left"/>
              <w:textAlignment w:val="auto"/>
              <w:rPr>
                <w:rFonts w:eastAsia="FangSong_GB2312" w:cs="宋体"/>
                <w:b/>
                <w:color w:val="auto"/>
                <w:kern w:val="0"/>
                <w:sz w:val="28"/>
                <w:szCs w:val="28"/>
              </w:rPr>
            </w:pPr>
          </w:p>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eastAsia="FangSong_GB2312" w:cs="宋体"/>
                <w:b/>
                <w:color w:val="auto"/>
                <w:kern w:val="0"/>
                <w:sz w:val="28"/>
                <w:szCs w:val="28"/>
              </w:rPr>
            </w:pPr>
            <w:r>
              <w:rPr>
                <w:rFonts w:hint="eastAsia" w:eastAsia="FangSong_GB2312" w:cs="宋体"/>
                <w:b/>
                <w:color w:val="auto"/>
                <w:kern w:val="0"/>
                <w:sz w:val="28"/>
                <w:szCs w:val="28"/>
              </w:rPr>
              <w:t>职务</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b/>
                <w:color w:val="auto"/>
                <w:kern w:val="0"/>
                <w:sz w:val="28"/>
                <w:szCs w:val="28"/>
              </w:rPr>
            </w:pPr>
            <w:r>
              <w:rPr>
                <w:rFonts w:hint="eastAsia" w:eastAsia="FangSong_GB2312" w:cs="宋体"/>
                <w:b/>
                <w:color w:val="auto"/>
                <w:kern w:val="0"/>
                <w:sz w:val="28"/>
                <w:szCs w:val="28"/>
              </w:rPr>
              <w:t>火车（含高铁、动车、全列软席列车）</w:t>
            </w:r>
          </w:p>
        </w:tc>
        <w:tc>
          <w:tcPr>
            <w:tcW w:w="1559"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b/>
                <w:color w:val="auto"/>
                <w:kern w:val="0"/>
                <w:sz w:val="28"/>
                <w:szCs w:val="28"/>
              </w:rPr>
            </w:pPr>
            <w:r>
              <w:rPr>
                <w:rFonts w:hint="eastAsia" w:eastAsia="FangSong_GB2312" w:cs="宋体"/>
                <w:b/>
                <w:color w:val="auto"/>
                <w:kern w:val="0"/>
                <w:sz w:val="28"/>
                <w:szCs w:val="28"/>
              </w:rPr>
              <w:t>轮船(不包括旅游船)</w:t>
            </w:r>
          </w:p>
        </w:tc>
        <w:tc>
          <w:tcPr>
            <w:tcW w:w="133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b/>
                <w:color w:val="auto"/>
                <w:kern w:val="0"/>
                <w:sz w:val="28"/>
                <w:szCs w:val="28"/>
              </w:rPr>
            </w:pPr>
            <w:r>
              <w:rPr>
                <w:rFonts w:hint="eastAsia" w:eastAsia="FangSong_GB2312" w:cs="宋体"/>
                <w:b/>
                <w:color w:val="auto"/>
                <w:kern w:val="0"/>
                <w:sz w:val="28"/>
                <w:szCs w:val="28"/>
              </w:rPr>
              <w:t>飞机</w:t>
            </w:r>
          </w:p>
        </w:tc>
        <w:tc>
          <w:tcPr>
            <w:tcW w:w="1924"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eastAsia="FangSong_GB2312" w:cs="宋体"/>
                <w:b/>
                <w:color w:val="auto"/>
                <w:kern w:val="0"/>
                <w:sz w:val="28"/>
                <w:szCs w:val="28"/>
              </w:rPr>
            </w:pPr>
            <w:r>
              <w:rPr>
                <w:rFonts w:hint="eastAsia" w:eastAsia="FangSong_GB2312" w:cs="宋体"/>
                <w:b/>
                <w:color w:val="auto"/>
                <w:kern w:val="0"/>
                <w:sz w:val="28"/>
                <w:szCs w:val="28"/>
              </w:rPr>
              <w:t>其他交通工具(不包括出租小汽车)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eastAsia="FangSong_GB2312" w:cs="宋体"/>
                <w:color w:val="auto"/>
                <w:kern w:val="0"/>
                <w:sz w:val="28"/>
                <w:szCs w:val="28"/>
              </w:rPr>
            </w:pPr>
            <w:r>
              <w:rPr>
                <w:rFonts w:hint="eastAsia" w:eastAsia="FangSong_GB2312" w:cs="宋体"/>
                <w:color w:val="auto"/>
                <w:kern w:val="0"/>
                <w:sz w:val="28"/>
                <w:szCs w:val="28"/>
              </w:rPr>
              <w:t>省级及相当职务人员</w:t>
            </w:r>
          </w:p>
        </w:tc>
        <w:tc>
          <w:tcPr>
            <w:tcW w:w="1843" w:type="dxa"/>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eastAsia="FangSong_GB2312" w:cs="宋体"/>
                <w:color w:val="auto"/>
                <w:kern w:val="0"/>
                <w:sz w:val="28"/>
                <w:szCs w:val="28"/>
              </w:rPr>
            </w:pPr>
            <w:r>
              <w:rPr>
                <w:rFonts w:hint="eastAsia" w:eastAsia="FangSong_GB2312" w:cs="宋体"/>
                <w:color w:val="auto"/>
                <w:kern w:val="0"/>
                <w:sz w:val="28"/>
                <w:szCs w:val="28"/>
              </w:rPr>
              <w:t>软席(软座、软座)，高铁/动车一等座，全列软席列车一等座</w:t>
            </w:r>
          </w:p>
        </w:tc>
        <w:tc>
          <w:tcPr>
            <w:tcW w:w="1559"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color w:val="auto"/>
                <w:kern w:val="0"/>
                <w:sz w:val="28"/>
                <w:szCs w:val="28"/>
              </w:rPr>
            </w:pPr>
            <w:r>
              <w:rPr>
                <w:rFonts w:hint="eastAsia" w:eastAsia="FangSong_GB2312" w:cs="宋体"/>
                <w:color w:val="auto"/>
                <w:kern w:val="0"/>
                <w:sz w:val="28"/>
                <w:szCs w:val="28"/>
              </w:rPr>
              <w:t>一等舱</w:t>
            </w:r>
          </w:p>
        </w:tc>
        <w:tc>
          <w:tcPr>
            <w:tcW w:w="133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color w:val="auto"/>
                <w:kern w:val="0"/>
                <w:sz w:val="28"/>
                <w:szCs w:val="28"/>
              </w:rPr>
            </w:pPr>
            <w:r>
              <w:rPr>
                <w:rFonts w:hint="eastAsia" w:eastAsia="FangSong_GB2312" w:cs="宋体"/>
                <w:color w:val="auto"/>
                <w:kern w:val="0"/>
                <w:sz w:val="28"/>
                <w:szCs w:val="28"/>
              </w:rPr>
              <w:t>头等舱</w:t>
            </w:r>
          </w:p>
        </w:tc>
        <w:tc>
          <w:tcPr>
            <w:tcW w:w="1924"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color w:val="auto"/>
                <w:kern w:val="0"/>
                <w:sz w:val="28"/>
                <w:szCs w:val="28"/>
              </w:rPr>
            </w:pPr>
            <w:r>
              <w:rPr>
                <w:rFonts w:hint="eastAsia" w:eastAsia="FangSong_GB2312" w:cs="宋体"/>
                <w:color w:val="auto"/>
                <w:kern w:val="0"/>
                <w:sz w:val="28"/>
                <w:szCs w:val="28"/>
              </w:rPr>
              <w:t>凭据报销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eastAsia="FangSong_GB2312" w:cs="宋体"/>
                <w:color w:val="auto"/>
                <w:kern w:val="0"/>
                <w:sz w:val="28"/>
                <w:szCs w:val="28"/>
              </w:rPr>
            </w:pPr>
            <w:r>
              <w:rPr>
                <w:rFonts w:hint="eastAsia" w:eastAsia="FangSong_GB2312" w:cs="宋体"/>
                <w:color w:val="auto"/>
                <w:kern w:val="0"/>
                <w:sz w:val="28"/>
                <w:szCs w:val="28"/>
              </w:rPr>
              <w:t>厅局级及相当职级的人员</w:t>
            </w:r>
          </w:p>
        </w:tc>
        <w:tc>
          <w:tcPr>
            <w:tcW w:w="1843" w:type="dxa"/>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eastAsia="FangSong_GB2312" w:cs="宋体"/>
                <w:color w:val="auto"/>
                <w:kern w:val="0"/>
                <w:sz w:val="28"/>
                <w:szCs w:val="28"/>
              </w:rPr>
            </w:pPr>
            <w:r>
              <w:rPr>
                <w:rFonts w:hint="eastAsia" w:eastAsia="FangSong_GB2312" w:cs="宋体"/>
                <w:color w:val="auto"/>
                <w:kern w:val="0"/>
                <w:sz w:val="28"/>
                <w:szCs w:val="28"/>
              </w:rPr>
              <w:t>软席(软座、软座)，高铁/动车一等座，全列软席列车一等座</w:t>
            </w:r>
          </w:p>
        </w:tc>
        <w:tc>
          <w:tcPr>
            <w:tcW w:w="1559"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color w:val="auto"/>
                <w:kern w:val="0"/>
                <w:sz w:val="28"/>
                <w:szCs w:val="28"/>
              </w:rPr>
            </w:pPr>
            <w:r>
              <w:rPr>
                <w:rFonts w:hint="eastAsia" w:eastAsia="FangSong_GB2312" w:cs="宋体"/>
                <w:color w:val="auto"/>
                <w:kern w:val="0"/>
                <w:sz w:val="28"/>
                <w:szCs w:val="28"/>
              </w:rPr>
              <w:t>二等舱</w:t>
            </w:r>
          </w:p>
        </w:tc>
        <w:tc>
          <w:tcPr>
            <w:tcW w:w="133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color w:val="auto"/>
                <w:kern w:val="0"/>
                <w:sz w:val="28"/>
                <w:szCs w:val="28"/>
              </w:rPr>
            </w:pPr>
            <w:r>
              <w:rPr>
                <w:rFonts w:hint="eastAsia" w:eastAsia="FangSong_GB2312" w:cs="宋体"/>
                <w:color w:val="auto"/>
                <w:kern w:val="0"/>
                <w:sz w:val="28"/>
                <w:szCs w:val="28"/>
              </w:rPr>
              <w:t>经济舱</w:t>
            </w:r>
          </w:p>
        </w:tc>
        <w:tc>
          <w:tcPr>
            <w:tcW w:w="1924"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color w:val="auto"/>
                <w:kern w:val="0"/>
                <w:sz w:val="28"/>
                <w:szCs w:val="28"/>
              </w:rPr>
            </w:pPr>
            <w:r>
              <w:rPr>
                <w:rFonts w:hint="eastAsia" w:eastAsia="FangSong_GB2312" w:cs="宋体"/>
                <w:color w:val="auto"/>
                <w:kern w:val="0"/>
                <w:sz w:val="28"/>
                <w:szCs w:val="28"/>
              </w:rPr>
              <w:t>凭据报销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color w:val="auto"/>
                <w:kern w:val="0"/>
                <w:sz w:val="28"/>
                <w:szCs w:val="28"/>
              </w:rPr>
            </w:pPr>
            <w:r>
              <w:rPr>
                <w:rFonts w:hint="eastAsia" w:eastAsia="FangSong_GB2312" w:cs="宋体"/>
                <w:color w:val="auto"/>
                <w:kern w:val="0"/>
                <w:sz w:val="28"/>
                <w:szCs w:val="28"/>
              </w:rPr>
              <w:t>其余人员</w:t>
            </w:r>
          </w:p>
        </w:tc>
        <w:tc>
          <w:tcPr>
            <w:tcW w:w="1843" w:type="dxa"/>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eastAsia="FangSong_GB2312" w:cs="宋体"/>
                <w:color w:val="auto"/>
                <w:kern w:val="0"/>
                <w:sz w:val="28"/>
                <w:szCs w:val="28"/>
              </w:rPr>
            </w:pPr>
            <w:r>
              <w:rPr>
                <w:rFonts w:hint="eastAsia" w:eastAsia="FangSong_GB2312" w:cs="宋体"/>
                <w:color w:val="auto"/>
                <w:kern w:val="0"/>
                <w:sz w:val="28"/>
                <w:szCs w:val="28"/>
              </w:rPr>
              <w:t>硬席(硬座、硬卧)，高铁/动车二等座，全列软席列车二等座</w:t>
            </w:r>
          </w:p>
        </w:tc>
        <w:tc>
          <w:tcPr>
            <w:tcW w:w="1559"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color w:val="auto"/>
                <w:kern w:val="0"/>
                <w:sz w:val="28"/>
                <w:szCs w:val="28"/>
              </w:rPr>
            </w:pPr>
            <w:r>
              <w:rPr>
                <w:rFonts w:hint="eastAsia" w:eastAsia="FangSong_GB2312" w:cs="宋体"/>
                <w:color w:val="auto"/>
                <w:kern w:val="0"/>
                <w:sz w:val="28"/>
                <w:szCs w:val="28"/>
              </w:rPr>
              <w:t>三等舱</w:t>
            </w:r>
          </w:p>
        </w:tc>
        <w:tc>
          <w:tcPr>
            <w:tcW w:w="133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color w:val="auto"/>
                <w:kern w:val="0"/>
                <w:sz w:val="28"/>
                <w:szCs w:val="28"/>
              </w:rPr>
            </w:pPr>
            <w:r>
              <w:rPr>
                <w:rFonts w:hint="eastAsia" w:eastAsia="FangSong_GB2312" w:cs="宋体"/>
                <w:color w:val="auto"/>
                <w:kern w:val="0"/>
                <w:sz w:val="28"/>
                <w:szCs w:val="28"/>
              </w:rPr>
              <w:t>经济舱</w:t>
            </w:r>
          </w:p>
        </w:tc>
        <w:tc>
          <w:tcPr>
            <w:tcW w:w="1924"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eastAsia="FangSong_GB2312" w:cs="宋体"/>
                <w:color w:val="auto"/>
                <w:kern w:val="0"/>
                <w:sz w:val="28"/>
                <w:szCs w:val="28"/>
              </w:rPr>
            </w:pPr>
            <w:r>
              <w:rPr>
                <w:rFonts w:hint="eastAsia" w:eastAsia="FangSong_GB2312" w:cs="宋体"/>
                <w:color w:val="auto"/>
                <w:kern w:val="0"/>
                <w:sz w:val="28"/>
                <w:szCs w:val="28"/>
              </w:rPr>
              <w:t>凭据报销</w:t>
            </w:r>
          </w:p>
        </w:tc>
      </w:tr>
    </w:tbl>
    <w:p>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eastAsia="FangSong_GB2312"/>
          <w:color w:val="auto"/>
          <w:sz w:val="32"/>
          <w:szCs w:val="32"/>
        </w:rPr>
      </w:pPr>
      <w:r>
        <w:rPr>
          <w:rFonts w:hint="eastAsia" w:eastAsia="FangSong_GB2312" w:cs="宋体"/>
          <w:color w:val="auto"/>
          <w:kern w:val="0"/>
          <w:sz w:val="32"/>
          <w:szCs w:val="32"/>
        </w:rPr>
        <w:t>省级及相当职务人员出差，</w:t>
      </w:r>
      <w:r>
        <w:rPr>
          <w:rFonts w:hint="eastAsia" w:eastAsia="FangSong_GB2312"/>
          <w:color w:val="auto"/>
          <w:sz w:val="32"/>
          <w:szCs w:val="32"/>
        </w:rPr>
        <w:t>因工作需要，随行一人可乘坐同等交通工具。</w:t>
      </w:r>
    </w:p>
    <w:p>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eastAsia="FangSong_GB2312"/>
          <w:color w:val="auto"/>
          <w:sz w:val="32"/>
          <w:szCs w:val="32"/>
        </w:rPr>
      </w:pPr>
      <w:r>
        <w:rPr>
          <w:rFonts w:hint="eastAsia" w:eastAsia="FangSong_GB2312"/>
          <w:color w:val="auto"/>
          <w:sz w:val="32"/>
          <w:szCs w:val="32"/>
        </w:rPr>
        <w:t>未按规定等级乘坐交通工具的，超支部分个人自理。</w:t>
      </w:r>
    </w:p>
    <w:p>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eastAsia="FangSong_GB2312"/>
          <w:color w:val="auto"/>
          <w:sz w:val="32"/>
          <w:szCs w:val="32"/>
        </w:rPr>
      </w:pPr>
      <w:r>
        <w:rPr>
          <w:rFonts w:hint="eastAsia" w:eastAsia="FangSong_GB2312"/>
          <w:b/>
          <w:color w:val="auto"/>
          <w:sz w:val="32"/>
          <w:szCs w:val="32"/>
        </w:rPr>
        <w:t>第八条</w:t>
      </w:r>
      <w:r>
        <w:rPr>
          <w:rFonts w:hint="eastAsia" w:eastAsia="FangSong_GB2312"/>
          <w:color w:val="auto"/>
          <w:sz w:val="32"/>
          <w:szCs w:val="32"/>
        </w:rPr>
        <w:t>到出差目的地有多种交通工具可选择时，出差人员在不影响公务、确保安全的前提下，应当选乘相对经济便捷的交通工具。</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eastAsia="FangSong_GB2312"/>
          <w:color w:val="auto"/>
          <w:sz w:val="32"/>
          <w:szCs w:val="32"/>
        </w:rPr>
      </w:pPr>
      <w:r>
        <w:rPr>
          <w:rFonts w:hint="eastAsia" w:eastAsia="FangSong_GB2312"/>
          <w:b/>
          <w:color w:val="auto"/>
          <w:sz w:val="32"/>
          <w:szCs w:val="32"/>
        </w:rPr>
        <w:t>第九条</w:t>
      </w:r>
      <w:r>
        <w:rPr>
          <w:rFonts w:hint="eastAsia" w:eastAsia="FangSong_GB2312"/>
          <w:color w:val="auto"/>
          <w:sz w:val="32"/>
          <w:szCs w:val="32"/>
        </w:rPr>
        <w:t>乘坐飞机的，民航发展基金、燃油附加费可以凭据报销。</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eastAsia="FangSong_GB2312"/>
          <w:color w:val="auto"/>
          <w:sz w:val="32"/>
          <w:szCs w:val="32"/>
        </w:rPr>
      </w:pPr>
      <w:r>
        <w:rPr>
          <w:rFonts w:hint="eastAsia" w:eastAsia="FangSong_GB2312"/>
          <w:b/>
          <w:color w:val="auto"/>
          <w:sz w:val="32"/>
          <w:szCs w:val="32"/>
        </w:rPr>
        <w:t>第十条</w:t>
      </w:r>
      <w:r>
        <w:rPr>
          <w:rFonts w:hint="eastAsia" w:eastAsia="FangSong_GB2312"/>
          <w:color w:val="auto"/>
          <w:sz w:val="32"/>
          <w:szCs w:val="32"/>
        </w:rPr>
        <w:t>乘坐飞机、火车、轮船等交通工具的，每人次可以购买交通意外保险一份。所在单位统一购买交通意外保险的，不再重复购买。</w:t>
      </w:r>
    </w:p>
    <w:p>
      <w:pPr>
        <w:keepNext w:val="0"/>
        <w:keepLines w:val="0"/>
        <w:pageBreakBefore w:val="0"/>
        <w:kinsoku/>
        <w:wordWrap/>
        <w:overflowPunct/>
        <w:topLinePunct w:val="0"/>
        <w:autoSpaceDE/>
        <w:autoSpaceDN/>
        <w:bidi w:val="0"/>
        <w:adjustRightInd w:val="0"/>
        <w:snapToGrid w:val="0"/>
        <w:spacing w:beforeLines="100" w:afterLines="10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第三章　住宿费</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FangSong_GB2312" w:eastAsia="FangSong_GB2312"/>
          <w:color w:val="auto"/>
          <w:sz w:val="32"/>
          <w:szCs w:val="32"/>
        </w:rPr>
      </w:pPr>
      <w:r>
        <w:rPr>
          <w:rFonts w:hint="eastAsia" w:ascii="FangSong_GB2312" w:eastAsia="FangSong_GB2312"/>
          <w:color w:val="auto"/>
          <w:sz w:val="32"/>
          <w:szCs w:val="32"/>
        </w:rPr>
        <w:t xml:space="preserve">　  </w:t>
      </w:r>
      <w:r>
        <w:rPr>
          <w:rFonts w:hint="eastAsia" w:ascii="FangSong_GB2312" w:eastAsia="FangSong_GB2312"/>
          <w:b/>
          <w:color w:val="auto"/>
          <w:sz w:val="32"/>
          <w:szCs w:val="32"/>
        </w:rPr>
        <w:t>第十一条</w:t>
      </w:r>
      <w:r>
        <w:rPr>
          <w:rFonts w:hint="eastAsia" w:ascii="FangSong_GB2312" w:eastAsia="FangSong_GB2312"/>
          <w:color w:val="auto"/>
          <w:sz w:val="32"/>
          <w:szCs w:val="32"/>
        </w:rPr>
        <w:t xml:space="preserve">  住宿费是指工作人员因公出差期间入住宾馆（包括饭店、招待所，下同）发生的房租费用。</w:t>
      </w:r>
    </w:p>
    <w:p>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ascii="FangSong_GB2312" w:eastAsia="FangSong_GB2312"/>
          <w:color w:val="auto"/>
          <w:sz w:val="32"/>
          <w:szCs w:val="32"/>
        </w:rPr>
      </w:pPr>
      <w:r>
        <w:rPr>
          <w:rFonts w:hint="eastAsia" w:ascii="FangSong_GB2312" w:eastAsia="FangSong_GB2312"/>
          <w:b/>
          <w:color w:val="auto"/>
          <w:sz w:val="32"/>
          <w:szCs w:val="32"/>
        </w:rPr>
        <w:t>第十二条</w:t>
      </w:r>
      <w:r>
        <w:rPr>
          <w:rFonts w:hint="eastAsia" w:ascii="FangSong_GB2312" w:eastAsia="FangSong_GB2312"/>
          <w:color w:val="auto"/>
          <w:sz w:val="32"/>
          <w:szCs w:val="32"/>
        </w:rPr>
        <w:t xml:space="preserve">  省内外地市出差住宿费标准省执行上限标准，各类人员各类人员应当坚持勤俭节约原则，根据职级对应的住宿费标准自行选择宾馆住宿（不分房型），在限额标准内据实报销。</w:t>
      </w:r>
    </w:p>
    <w:p>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ascii="FangSong_GB2312" w:eastAsia="FangSong_GB2312"/>
          <w:color w:val="auto"/>
          <w:sz w:val="32"/>
          <w:szCs w:val="32"/>
        </w:rPr>
      </w:pPr>
      <w:r>
        <w:rPr>
          <w:rFonts w:hint="eastAsia" w:ascii="FangSong_GB2312" w:eastAsia="FangSong_GB2312"/>
          <w:b/>
          <w:color w:val="auto"/>
          <w:sz w:val="32"/>
          <w:szCs w:val="32"/>
        </w:rPr>
        <w:t>第十三条</w:t>
      </w:r>
      <w:r>
        <w:rPr>
          <w:rFonts w:hint="eastAsia" w:ascii="FangSong_GB2312" w:eastAsia="FangSong_GB2312"/>
          <w:color w:val="auto"/>
          <w:sz w:val="32"/>
          <w:szCs w:val="32"/>
        </w:rPr>
        <w:t xml:space="preserve">  处级以下人员住宿费限额内不限定2人住一个房间。</w:t>
      </w:r>
    </w:p>
    <w:p>
      <w:pPr>
        <w:keepNext w:val="0"/>
        <w:keepLines w:val="0"/>
        <w:pageBreakBefore w:val="0"/>
        <w:kinsoku/>
        <w:wordWrap/>
        <w:overflowPunct/>
        <w:topLinePunct w:val="0"/>
        <w:autoSpaceDE/>
        <w:autoSpaceDN/>
        <w:bidi w:val="0"/>
        <w:adjustRightInd w:val="0"/>
        <w:snapToGrid w:val="0"/>
        <w:spacing w:line="560" w:lineRule="exact"/>
        <w:ind w:firstLine="660"/>
        <w:textAlignment w:val="auto"/>
        <w:rPr>
          <w:rFonts w:hint="eastAsia" w:ascii="FangSong_GB2312" w:eastAsia="FangSong_GB2312"/>
          <w:color w:val="auto"/>
          <w:sz w:val="32"/>
          <w:szCs w:val="32"/>
        </w:rPr>
      </w:pPr>
      <w:r>
        <w:rPr>
          <w:rFonts w:hint="eastAsia" w:ascii="FangSong_GB2312" w:eastAsia="FangSong_GB2312"/>
          <w:b/>
          <w:color w:val="auto"/>
          <w:sz w:val="32"/>
          <w:szCs w:val="32"/>
        </w:rPr>
        <w:t>第十四条</w:t>
      </w:r>
      <w:r>
        <w:rPr>
          <w:rFonts w:hint="eastAsia" w:ascii="FangSong_GB2312" w:eastAsia="FangSong_GB2312"/>
          <w:color w:val="auto"/>
          <w:sz w:val="32"/>
          <w:szCs w:val="32"/>
        </w:rPr>
        <w:t xml:space="preserve">  出差人员应当在职务级别对应的出差目的地住宿费标准限额内，选择安全、经济、便捷的宾馆住宿。</w:t>
      </w:r>
    </w:p>
    <w:p>
      <w:pPr>
        <w:keepNext w:val="0"/>
        <w:keepLines w:val="0"/>
        <w:pageBreakBefore w:val="0"/>
        <w:kinsoku/>
        <w:wordWrap/>
        <w:overflowPunct/>
        <w:topLinePunct w:val="0"/>
        <w:autoSpaceDE/>
        <w:autoSpaceDN/>
        <w:bidi w:val="0"/>
        <w:adjustRightInd w:val="0"/>
        <w:snapToGrid w:val="0"/>
        <w:spacing w:line="560" w:lineRule="exact"/>
        <w:ind w:firstLine="660"/>
        <w:textAlignment w:val="auto"/>
        <w:rPr>
          <w:rFonts w:hint="eastAsia" w:ascii="FangSong_GB2312" w:eastAsia="FangSong_GB2312"/>
          <w:color w:val="auto"/>
          <w:sz w:val="32"/>
          <w:szCs w:val="32"/>
        </w:rPr>
      </w:pPr>
    </w:p>
    <w:tbl>
      <w:tblPr>
        <w:tblStyle w:val="5"/>
        <w:tblW w:w="10590" w:type="dxa"/>
        <w:jc w:val="center"/>
        <w:tblLayout w:type="autofit"/>
        <w:tblCellMar>
          <w:top w:w="0" w:type="dxa"/>
          <w:left w:w="108" w:type="dxa"/>
          <w:bottom w:w="0" w:type="dxa"/>
          <w:right w:w="108" w:type="dxa"/>
        </w:tblCellMar>
      </w:tblPr>
      <w:tblGrid>
        <w:gridCol w:w="567"/>
        <w:gridCol w:w="2965"/>
        <w:gridCol w:w="696"/>
        <w:gridCol w:w="831"/>
        <w:gridCol w:w="1096"/>
        <w:gridCol w:w="696"/>
        <w:gridCol w:w="696"/>
        <w:gridCol w:w="831"/>
        <w:gridCol w:w="1096"/>
        <w:gridCol w:w="1176"/>
      </w:tblGrid>
      <w:tr>
        <w:tblPrEx>
          <w:tblCellMar>
            <w:top w:w="0" w:type="dxa"/>
            <w:left w:w="108" w:type="dxa"/>
            <w:bottom w:w="0" w:type="dxa"/>
            <w:right w:w="108" w:type="dxa"/>
          </w:tblCellMar>
        </w:tblPrEx>
        <w:trPr>
          <w:trHeight w:val="690" w:hRule="atLeast"/>
          <w:jc w:val="center"/>
        </w:trPr>
        <w:tc>
          <w:tcPr>
            <w:tcW w:w="10590" w:type="dxa"/>
            <w:gridSpan w:val="10"/>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eastAsia="FangSong_GB2312" w:cs="宋体"/>
                <w:b/>
                <w:bCs/>
                <w:color w:val="auto"/>
                <w:kern w:val="0"/>
                <w:sz w:val="32"/>
                <w:szCs w:val="32"/>
              </w:rPr>
            </w:pPr>
            <w:r>
              <w:rPr>
                <w:rFonts w:hint="eastAsia" w:eastAsia="FangSong_GB2312" w:cs="宋体"/>
                <w:b/>
                <w:bCs/>
                <w:color w:val="auto"/>
                <w:kern w:val="0"/>
                <w:sz w:val="32"/>
                <w:szCs w:val="32"/>
              </w:rPr>
              <w:t>承德市市级机关国内差旅住宿费标准表</w:t>
            </w:r>
          </w:p>
        </w:tc>
      </w:tr>
      <w:tr>
        <w:tblPrEx>
          <w:tblCellMar>
            <w:top w:w="0" w:type="dxa"/>
            <w:left w:w="108" w:type="dxa"/>
            <w:bottom w:w="0" w:type="dxa"/>
            <w:right w:w="108" w:type="dxa"/>
          </w:tblCellMar>
        </w:tblPrEx>
        <w:trPr>
          <w:trHeight w:val="570" w:hRule="atLeast"/>
          <w:jc w:val="center"/>
        </w:trPr>
        <w:tc>
          <w:tcPr>
            <w:tcW w:w="10590" w:type="dxa"/>
            <w:gridSpan w:val="10"/>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jc w:val="right"/>
              <w:textAlignment w:val="auto"/>
              <w:rPr>
                <w:rFonts w:eastAsia="FangSong_GB2312" w:cs="宋体"/>
                <w:color w:val="auto"/>
                <w:kern w:val="0"/>
                <w:sz w:val="24"/>
                <w:szCs w:val="24"/>
              </w:rPr>
            </w:pPr>
            <w:r>
              <w:rPr>
                <w:rFonts w:hint="eastAsia" w:eastAsia="FangSong_GB2312" w:cs="宋体"/>
                <w:color w:val="auto"/>
                <w:kern w:val="0"/>
                <w:sz w:val="24"/>
                <w:szCs w:val="24"/>
              </w:rPr>
              <w:t>单位：元/人·天</w:t>
            </w:r>
          </w:p>
        </w:tc>
      </w:tr>
      <w:tr>
        <w:tblPrEx>
          <w:tblCellMar>
            <w:top w:w="0" w:type="dxa"/>
            <w:left w:w="108" w:type="dxa"/>
            <w:bottom w:w="0" w:type="dxa"/>
            <w:right w:w="108" w:type="dxa"/>
          </w:tblCellMar>
        </w:tblPrEx>
        <w:trPr>
          <w:trHeight w:val="465" w:hRule="atLeast"/>
          <w:jc w:val="cent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序号</w:t>
            </w:r>
          </w:p>
        </w:tc>
        <w:tc>
          <w:tcPr>
            <w:tcW w:w="2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地区（城市）</w:t>
            </w:r>
          </w:p>
        </w:tc>
        <w:tc>
          <w:tcPr>
            <w:tcW w:w="2583"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住宿费标准</w:t>
            </w:r>
          </w:p>
        </w:tc>
        <w:tc>
          <w:tcPr>
            <w:tcW w:w="4475"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淡旺季浮动标准建议</w:t>
            </w:r>
          </w:p>
        </w:tc>
      </w:tr>
      <w:tr>
        <w:tblPrEx>
          <w:tblCellMar>
            <w:top w:w="0" w:type="dxa"/>
            <w:left w:w="108" w:type="dxa"/>
            <w:bottom w:w="0" w:type="dxa"/>
            <w:right w:w="108" w:type="dxa"/>
          </w:tblCellMar>
        </w:tblPrEx>
        <w:trPr>
          <w:trHeight w:val="40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eastAsia="FangSong_GB2312" w:cs="宋体"/>
                <w:color w:val="auto"/>
                <w:kern w:val="0"/>
                <w:sz w:val="24"/>
                <w:szCs w:val="24"/>
              </w:rPr>
            </w:pPr>
          </w:p>
        </w:tc>
        <w:tc>
          <w:tcPr>
            <w:tcW w:w="2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eastAsia="FangSong_GB2312" w:cs="宋体"/>
                <w:color w:val="auto"/>
                <w:kern w:val="0"/>
                <w:sz w:val="24"/>
                <w:szCs w:val="24"/>
              </w:rPr>
            </w:pPr>
          </w:p>
        </w:tc>
        <w:tc>
          <w:tcPr>
            <w:tcW w:w="258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eastAsia="FangSong_GB2312" w:cs="宋体"/>
                <w:color w:val="auto"/>
                <w:kern w:val="0"/>
                <w:sz w:val="24"/>
                <w:szCs w:val="24"/>
              </w:rPr>
            </w:pPr>
          </w:p>
        </w:tc>
        <w:tc>
          <w:tcPr>
            <w:tcW w:w="79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旺季期间</w:t>
            </w:r>
          </w:p>
        </w:tc>
        <w:tc>
          <w:tcPr>
            <w:tcW w:w="2583"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旺季上浮价</w:t>
            </w:r>
          </w:p>
        </w:tc>
        <w:tc>
          <w:tcPr>
            <w:tcW w:w="109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上浮比例</w:t>
            </w:r>
          </w:p>
        </w:tc>
      </w:tr>
      <w:tr>
        <w:tblPrEx>
          <w:tblCellMar>
            <w:top w:w="0" w:type="dxa"/>
            <w:left w:w="108" w:type="dxa"/>
            <w:bottom w:w="0" w:type="dxa"/>
            <w:right w:w="108" w:type="dxa"/>
          </w:tblCellMar>
        </w:tblPrEx>
        <w:trPr>
          <w:trHeight w:val="54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eastAsia="FangSong_GB2312" w:cs="宋体"/>
                <w:color w:val="auto"/>
                <w:kern w:val="0"/>
                <w:sz w:val="24"/>
                <w:szCs w:val="24"/>
              </w:rPr>
            </w:pPr>
          </w:p>
        </w:tc>
        <w:tc>
          <w:tcPr>
            <w:tcW w:w="2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eastAsia="FangSong_GB2312" w:cs="宋体"/>
                <w:color w:val="auto"/>
                <w:kern w:val="0"/>
                <w:sz w:val="24"/>
                <w:szCs w:val="24"/>
              </w:rPr>
            </w:pP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省级</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厅局级</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其他人员</w:t>
            </w:r>
          </w:p>
        </w:tc>
        <w:tc>
          <w:tcPr>
            <w:tcW w:w="79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eastAsia="FangSong_GB2312" w:cs="宋体"/>
                <w:color w:val="auto"/>
                <w:kern w:val="0"/>
                <w:sz w:val="24"/>
                <w:szCs w:val="24"/>
              </w:rPr>
            </w:pP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省级</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厅局级</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其他人员</w:t>
            </w:r>
          </w:p>
        </w:tc>
        <w:tc>
          <w:tcPr>
            <w:tcW w:w="109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eastAsia="FangSong_GB2312" w:cs="宋体"/>
                <w:color w:val="auto"/>
                <w:kern w:val="0"/>
                <w:sz w:val="24"/>
                <w:szCs w:val="24"/>
              </w:rPr>
            </w:pPr>
          </w:p>
        </w:tc>
      </w:tr>
      <w:tr>
        <w:tblPrEx>
          <w:tblCellMar>
            <w:top w:w="0" w:type="dxa"/>
            <w:left w:w="108" w:type="dxa"/>
            <w:bottom w:w="0" w:type="dxa"/>
            <w:right w:w="108" w:type="dxa"/>
          </w:tblCellMar>
        </w:tblPrEx>
        <w:trPr>
          <w:trHeight w:val="42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b/>
                <w:bCs/>
                <w:color w:val="auto"/>
                <w:kern w:val="0"/>
                <w:sz w:val="24"/>
                <w:szCs w:val="24"/>
              </w:rPr>
            </w:pPr>
            <w:r>
              <w:rPr>
                <w:rFonts w:hint="eastAsia" w:eastAsia="FangSong_GB2312" w:cs="宋体"/>
                <w:b/>
                <w:bCs/>
                <w:color w:val="auto"/>
                <w:kern w:val="0"/>
                <w:sz w:val="24"/>
                <w:szCs w:val="24"/>
              </w:rPr>
              <w:t>一、省内差旅住宿费标准</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石家庄（省会城市）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63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张家口市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7-9月、11-3月</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1200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675</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525</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50%</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秦皇岛市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7-8月</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1200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680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500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50%</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廊坊市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唐山市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310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6</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沧州市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310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7</w:t>
            </w:r>
          </w:p>
        </w:tc>
        <w:tc>
          <w:tcPr>
            <w:tcW w:w="29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衡水市</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310</w:t>
            </w:r>
          </w:p>
        </w:tc>
        <w:tc>
          <w:tcPr>
            <w:tcW w:w="7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邢台市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310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w:t>
            </w:r>
          </w:p>
        </w:tc>
        <w:tc>
          <w:tcPr>
            <w:tcW w:w="29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承德市</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7-9月</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1000</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580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580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25%-66%</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10</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邯郸市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310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11</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保定市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b/>
                <w:bCs/>
                <w:color w:val="auto"/>
                <w:kern w:val="0"/>
                <w:sz w:val="24"/>
                <w:szCs w:val="24"/>
              </w:rPr>
            </w:pPr>
            <w:r>
              <w:rPr>
                <w:rFonts w:hint="eastAsia" w:eastAsia="FangSong_GB2312" w:cs="宋体"/>
                <w:b/>
                <w:bCs/>
                <w:color w:val="auto"/>
                <w:kern w:val="0"/>
                <w:sz w:val="24"/>
                <w:szCs w:val="24"/>
              </w:rPr>
              <w:t>二、省外差旅住宿费标准</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w:t>
            </w:r>
          </w:p>
        </w:tc>
        <w:tc>
          <w:tcPr>
            <w:tcW w:w="29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北京市</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1100</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650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500</w:t>
            </w:r>
          </w:p>
        </w:tc>
        <w:tc>
          <w:tcPr>
            <w:tcW w:w="7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天津市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480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380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山西省（太原）</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480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w:t>
            </w:r>
          </w:p>
        </w:tc>
        <w:tc>
          <w:tcPr>
            <w:tcW w:w="29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内蒙古（呼和浩特）</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460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辽宁省（沈阳）</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480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6</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大连市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490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7-9月</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960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590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420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20%</w:t>
            </w:r>
          </w:p>
        </w:tc>
      </w:tr>
      <w:tr>
        <w:tblPrEx>
          <w:tblCellMar>
            <w:top w:w="0" w:type="dxa"/>
            <w:left w:w="108" w:type="dxa"/>
            <w:bottom w:w="0" w:type="dxa"/>
            <w:right w:w="108" w:type="dxa"/>
          </w:tblCellMar>
        </w:tblPrEx>
        <w:trPr>
          <w:trHeight w:val="37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7</w:t>
            </w:r>
          </w:p>
        </w:tc>
        <w:tc>
          <w:tcPr>
            <w:tcW w:w="29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吉林省（长春）</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w:t>
            </w:r>
          </w:p>
        </w:tc>
        <w:tc>
          <w:tcPr>
            <w:tcW w:w="29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黑龙江省（哈尔滨）</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7-9月</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960</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540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420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20%</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上海市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1100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600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500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10</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江苏省（南京）</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490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380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11</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浙江省（杭州）</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500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400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12</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宁波市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13</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安徽省（合肥）</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460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14</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福建省（福州）</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480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380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15</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厦门市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500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400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16</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江西省（南昌）</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470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17</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山东省（济南）</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480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380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18</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青岛市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490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380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7-9月</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960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590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20%</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19</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河南省（郑州）</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480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380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20</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湖北省（武汉）</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480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21</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湖南省（长沙）</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22</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广东省（广州）</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23</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深圳市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24</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广西（南宁）</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470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25</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海南（海口）</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500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11-2月</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1040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650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30%</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26</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重庆市</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480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370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27</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四川省（成都）</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470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370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28</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贵州省（贵阳）</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470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370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29</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云南省（昆明）</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900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480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380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30</w:t>
            </w:r>
          </w:p>
        </w:tc>
        <w:tc>
          <w:tcPr>
            <w:tcW w:w="29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西藏（拉萨）</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500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6-9月</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1200</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750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530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50%</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31</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陕西省（西安）</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460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32</w:t>
            </w:r>
          </w:p>
        </w:tc>
        <w:tc>
          <w:tcPr>
            <w:tcW w:w="29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甘肃省（兰州）</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470</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33</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青海省（西宁）</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500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6-9月</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1200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750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530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50%</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34</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宁夏（银川）</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470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r>
        <w:tblPrEx>
          <w:tblCellMar>
            <w:top w:w="0" w:type="dxa"/>
            <w:left w:w="108" w:type="dxa"/>
            <w:bottom w:w="0" w:type="dxa"/>
            <w:right w:w="108" w:type="dxa"/>
          </w:tblCellMar>
        </w:tblPrEx>
        <w:trPr>
          <w:trHeight w:val="37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w:t>
            </w:r>
          </w:p>
        </w:tc>
        <w:tc>
          <w:tcPr>
            <w:tcW w:w="29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新疆（乌鲁木齐）</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800</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480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350</w:t>
            </w:r>
          </w:p>
        </w:tc>
        <w:tc>
          <w:tcPr>
            <w:tcW w:w="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6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560" w:lineRule="exact"/>
              <w:textAlignment w:val="auto"/>
              <w:rPr>
                <w:rFonts w:eastAsia="FangSong_GB2312" w:cs="宋体"/>
                <w:color w:val="auto"/>
                <w:kern w:val="0"/>
                <w:sz w:val="24"/>
                <w:szCs w:val="24"/>
              </w:rPr>
            </w:pPr>
            <w:r>
              <w:rPr>
                <w:rFonts w:hint="eastAsia" w:eastAsia="FangSong_GB2312" w:cs="宋体"/>
                <w:color w:val="auto"/>
                <w:kern w:val="0"/>
                <w:sz w:val="24"/>
                <w:szCs w:val="24"/>
              </w:rPr>
              <w:t>　</w:t>
            </w:r>
          </w:p>
        </w:tc>
      </w:tr>
    </w:tbl>
    <w:p>
      <w:pPr>
        <w:keepNext w:val="0"/>
        <w:keepLines w:val="0"/>
        <w:pageBreakBefore w:val="0"/>
        <w:kinsoku/>
        <w:wordWrap/>
        <w:overflowPunct/>
        <w:topLinePunct w:val="0"/>
        <w:autoSpaceDE/>
        <w:autoSpaceDN/>
        <w:bidi w:val="0"/>
        <w:adjustRightInd w:val="0"/>
        <w:snapToGrid w:val="0"/>
        <w:spacing w:beforeLines="100" w:afterLines="10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第四章　伙食补助费</w:t>
      </w:r>
    </w:p>
    <w:p>
      <w:pPr>
        <w:keepNext w:val="0"/>
        <w:keepLines w:val="0"/>
        <w:pageBreakBefore w:val="0"/>
        <w:kinsoku/>
        <w:wordWrap/>
        <w:overflowPunct/>
        <w:topLinePunct w:val="0"/>
        <w:autoSpaceDE/>
        <w:autoSpaceDN/>
        <w:bidi w:val="0"/>
        <w:adjustRightInd w:val="0"/>
        <w:snapToGrid w:val="0"/>
        <w:spacing w:line="560" w:lineRule="exact"/>
        <w:ind w:firstLine="646"/>
        <w:textAlignment w:val="auto"/>
        <w:rPr>
          <w:rFonts w:ascii="FangSong_GB2312" w:eastAsia="FangSong_GB2312"/>
          <w:color w:val="auto"/>
          <w:sz w:val="32"/>
          <w:szCs w:val="32"/>
        </w:rPr>
      </w:pPr>
      <w:r>
        <w:rPr>
          <w:rFonts w:hint="eastAsia" w:ascii="FangSong_GB2312" w:eastAsia="FangSong_GB2312"/>
          <w:b/>
          <w:color w:val="auto"/>
          <w:sz w:val="32"/>
          <w:szCs w:val="32"/>
        </w:rPr>
        <w:t>第十五条</w:t>
      </w:r>
      <w:r>
        <w:rPr>
          <w:rFonts w:hint="eastAsia" w:ascii="FangSong_GB2312" w:eastAsia="FangSong_GB2312"/>
          <w:color w:val="auto"/>
          <w:sz w:val="32"/>
          <w:szCs w:val="32"/>
        </w:rPr>
        <w:t xml:space="preserve">  伙食补助费是指对工作人员因公出差给予的伙食补助费用。</w:t>
      </w:r>
    </w:p>
    <w:p>
      <w:pPr>
        <w:keepNext w:val="0"/>
        <w:keepLines w:val="0"/>
        <w:pageBreakBefore w:val="0"/>
        <w:kinsoku/>
        <w:wordWrap/>
        <w:overflowPunct/>
        <w:topLinePunct w:val="0"/>
        <w:autoSpaceDE/>
        <w:autoSpaceDN/>
        <w:bidi w:val="0"/>
        <w:adjustRightInd w:val="0"/>
        <w:snapToGrid w:val="0"/>
        <w:spacing w:line="560" w:lineRule="exact"/>
        <w:ind w:firstLine="646"/>
        <w:textAlignment w:val="auto"/>
        <w:rPr>
          <w:rFonts w:ascii="FangSong_GB2312" w:eastAsia="FangSong_GB2312"/>
          <w:color w:val="auto"/>
          <w:sz w:val="32"/>
          <w:szCs w:val="32"/>
        </w:rPr>
      </w:pPr>
      <w:r>
        <w:rPr>
          <w:rFonts w:hint="eastAsia" w:ascii="FangSong_GB2312" w:eastAsia="FangSong_GB2312"/>
          <w:b/>
          <w:color w:val="auto"/>
          <w:sz w:val="32"/>
          <w:szCs w:val="32"/>
        </w:rPr>
        <w:t>第十六条</w:t>
      </w:r>
      <w:r>
        <w:rPr>
          <w:rFonts w:hint="eastAsia" w:ascii="FangSong_GB2312" w:eastAsia="FangSong_GB2312"/>
          <w:color w:val="auto"/>
          <w:sz w:val="32"/>
          <w:szCs w:val="32"/>
        </w:rPr>
        <w:t xml:space="preserve">  伙食补助费按出差自然(日历)天数计算，到本市境外出差每人每天补助100元，在本市境内出差每人每天补助50元。</w:t>
      </w:r>
    </w:p>
    <w:p>
      <w:pPr>
        <w:keepNext w:val="0"/>
        <w:keepLines w:val="0"/>
        <w:pageBreakBefore w:val="0"/>
        <w:kinsoku/>
        <w:wordWrap/>
        <w:overflowPunct/>
        <w:topLinePunct w:val="0"/>
        <w:autoSpaceDE/>
        <w:autoSpaceDN/>
        <w:bidi w:val="0"/>
        <w:adjustRightInd w:val="0"/>
        <w:snapToGrid w:val="0"/>
        <w:spacing w:line="560" w:lineRule="exact"/>
        <w:ind w:firstLine="646"/>
        <w:textAlignment w:val="auto"/>
        <w:rPr>
          <w:rFonts w:ascii="FangSong_GB2312" w:eastAsia="FangSong_GB2312"/>
          <w:color w:val="auto"/>
          <w:sz w:val="32"/>
          <w:szCs w:val="32"/>
        </w:rPr>
      </w:pPr>
      <w:r>
        <w:rPr>
          <w:rFonts w:hint="eastAsia" w:ascii="FangSong_GB2312" w:eastAsia="FangSong_GB2312"/>
          <w:b/>
          <w:color w:val="auto"/>
          <w:sz w:val="32"/>
          <w:szCs w:val="32"/>
        </w:rPr>
        <w:t>第十七条</w:t>
      </w:r>
      <w:r>
        <w:rPr>
          <w:rFonts w:hint="eastAsia" w:ascii="FangSong_GB2312" w:eastAsia="FangSong_GB2312"/>
          <w:color w:val="auto"/>
          <w:sz w:val="32"/>
          <w:szCs w:val="32"/>
        </w:rPr>
        <w:t xml:space="preserve">  出差人员除确因工作需要由接待单位按规定安排的一次工作餐外，用餐费用自行解决。出差人员需接待单位协助安排用餐的，应当提前告知控制标准，并向伙食提供方交纳伙食费。</w:t>
      </w:r>
    </w:p>
    <w:p>
      <w:pPr>
        <w:keepNext w:val="0"/>
        <w:keepLines w:val="0"/>
        <w:pageBreakBefore w:val="0"/>
        <w:kinsoku/>
        <w:wordWrap/>
        <w:overflowPunct/>
        <w:topLinePunct w:val="0"/>
        <w:autoSpaceDE/>
        <w:autoSpaceDN/>
        <w:bidi w:val="0"/>
        <w:adjustRightInd w:val="0"/>
        <w:snapToGrid w:val="0"/>
        <w:spacing w:line="560" w:lineRule="exact"/>
        <w:ind w:firstLine="646"/>
        <w:textAlignment w:val="auto"/>
        <w:rPr>
          <w:rFonts w:ascii="FangSong_GB2312" w:eastAsia="FangSong_GB2312"/>
          <w:color w:val="auto"/>
          <w:sz w:val="32"/>
          <w:szCs w:val="32"/>
        </w:rPr>
      </w:pPr>
      <w:r>
        <w:rPr>
          <w:rFonts w:hint="eastAsia" w:ascii="FangSong_GB2312" w:eastAsia="FangSong_GB2312"/>
          <w:color w:val="auto"/>
          <w:sz w:val="32"/>
          <w:szCs w:val="32"/>
        </w:rPr>
        <w:t>在单位内部食堂用餐，有对外收费标准的，出差人员按标准交纳；没有对外收费标准的，早餐按照日伙食补助费标准的 20％交纳，午餐、晚餐各按照日伙食补助费标准的 40％交纳。在宾馆、饭店等餐饮服务单位用餐的，按照餐饮服务单位收费标准交纳相关费用。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接待单位协助安排用餐的，出差人员应当索取相应的行政事业单位资金往来结算票据或税务发票等凭证，个人保存备查，不作为报销依据。</w:t>
      </w:r>
    </w:p>
    <w:p>
      <w:pPr>
        <w:keepNext w:val="0"/>
        <w:keepLines w:val="0"/>
        <w:pageBreakBefore w:val="0"/>
        <w:kinsoku/>
        <w:wordWrap/>
        <w:overflowPunct/>
        <w:topLinePunct w:val="0"/>
        <w:autoSpaceDE/>
        <w:autoSpaceDN/>
        <w:bidi w:val="0"/>
        <w:adjustRightInd w:val="0"/>
        <w:snapToGrid w:val="0"/>
        <w:spacing w:beforeLines="100" w:afterLines="100" w:line="560" w:lineRule="exact"/>
        <w:jc w:val="center"/>
        <w:textAlignment w:val="auto"/>
        <w:rPr>
          <w:rFonts w:ascii="FangSong_GB2312" w:eastAsia="FangSong_GB2312"/>
          <w:b/>
          <w:color w:val="auto"/>
          <w:sz w:val="32"/>
          <w:szCs w:val="32"/>
        </w:rPr>
      </w:pPr>
      <w:r>
        <w:rPr>
          <w:rFonts w:hint="eastAsia" w:ascii="黑体" w:hAnsi="黑体" w:eastAsia="黑体" w:cs="黑体"/>
          <w:b w:val="0"/>
          <w:bCs/>
          <w:color w:val="auto"/>
          <w:sz w:val="32"/>
          <w:szCs w:val="32"/>
        </w:rPr>
        <w:t>第五章　市内交通费</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FangSong_GB2312" w:eastAsia="FangSong_GB2312"/>
          <w:color w:val="auto"/>
          <w:sz w:val="32"/>
          <w:szCs w:val="32"/>
        </w:rPr>
      </w:pPr>
      <w:r>
        <w:rPr>
          <w:rFonts w:hint="eastAsia" w:ascii="FangSong_GB2312" w:eastAsia="FangSong_GB2312"/>
          <w:color w:val="auto"/>
          <w:sz w:val="32"/>
          <w:szCs w:val="32"/>
        </w:rPr>
        <w:t>　　</w:t>
      </w:r>
      <w:r>
        <w:rPr>
          <w:rFonts w:hint="eastAsia" w:ascii="FangSong_GB2312" w:eastAsia="FangSong_GB2312"/>
          <w:b/>
          <w:color w:val="auto"/>
          <w:sz w:val="32"/>
          <w:szCs w:val="32"/>
        </w:rPr>
        <w:t>第十八条</w:t>
      </w:r>
      <w:r>
        <w:rPr>
          <w:rFonts w:hint="eastAsia" w:ascii="FangSong_GB2312" w:eastAsia="FangSong_GB2312"/>
          <w:color w:val="auto"/>
          <w:sz w:val="32"/>
          <w:szCs w:val="32"/>
        </w:rPr>
        <w:t xml:space="preserve">  市内交通费是指工作人员因公出差期间发生的市内交通费用。</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FangSong_GB2312" w:eastAsia="FangSong_GB2312"/>
          <w:color w:val="auto"/>
          <w:sz w:val="32"/>
          <w:szCs w:val="32"/>
        </w:rPr>
      </w:pPr>
      <w:r>
        <w:rPr>
          <w:rFonts w:hint="eastAsia" w:ascii="FangSong_GB2312" w:eastAsia="FangSong_GB2312"/>
          <w:color w:val="auto"/>
          <w:sz w:val="32"/>
          <w:szCs w:val="32"/>
        </w:rPr>
        <w:t>　　</w:t>
      </w:r>
      <w:r>
        <w:rPr>
          <w:rFonts w:hint="eastAsia" w:ascii="FangSong_GB2312" w:eastAsia="FangSong_GB2312"/>
          <w:b/>
          <w:color w:val="auto"/>
          <w:sz w:val="32"/>
          <w:szCs w:val="32"/>
        </w:rPr>
        <w:t>第十九条</w:t>
      </w:r>
      <w:r>
        <w:rPr>
          <w:rFonts w:hint="eastAsia" w:ascii="FangSong_GB2312" w:eastAsia="FangSong_GB2312"/>
          <w:color w:val="auto"/>
          <w:sz w:val="32"/>
          <w:szCs w:val="32"/>
        </w:rPr>
        <w:t xml:space="preserve">  市内交通费按出差自然(日历)天数计算，到本市境外出差每人每天80元包干、在本市境内出差（不含市内、双滦、开发区）每人每天40元包干。单位提供交通工具的，不发放市内交通费。</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FangSong_GB2312" w:eastAsia="FangSong_GB2312"/>
          <w:color w:val="auto"/>
          <w:sz w:val="32"/>
          <w:szCs w:val="32"/>
        </w:rPr>
      </w:pPr>
      <w:r>
        <w:rPr>
          <w:rFonts w:hint="eastAsia" w:ascii="FangSong_GB2312" w:eastAsia="FangSong_GB2312"/>
          <w:color w:val="auto"/>
          <w:sz w:val="32"/>
          <w:szCs w:val="32"/>
        </w:rPr>
        <w:t xml:space="preserve">     往返驻地和机场的交通费在按规定发放的市内交通费内统筹解决，不在另行报销。</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FangSong_GB2312" w:eastAsia="FangSong_GB2312"/>
          <w:color w:val="auto"/>
          <w:sz w:val="32"/>
          <w:szCs w:val="32"/>
        </w:rPr>
      </w:pPr>
      <w:r>
        <w:rPr>
          <w:rFonts w:hint="eastAsia" w:ascii="FangSong_GB2312" w:eastAsia="FangSong_GB2312"/>
          <w:b/>
          <w:color w:val="auto"/>
          <w:sz w:val="32"/>
          <w:szCs w:val="32"/>
        </w:rPr>
        <w:t>第二十条</w:t>
      </w:r>
      <w:r>
        <w:rPr>
          <w:rFonts w:hint="eastAsia" w:ascii="FangSong_GB2312" w:eastAsia="FangSong_GB2312"/>
          <w:color w:val="auto"/>
          <w:sz w:val="32"/>
          <w:szCs w:val="32"/>
        </w:rPr>
        <w:t xml:space="preserve">  出差人员出差期间按规定领取市内交通费。接待单位协助提供交通工具并有收费标准的，出差人员按标准交纳，最高不超过日市内交通费标准；没有收费标准的，每人每半天按照日市内交通费标准的 50％交纳。</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接待单位协助提供交通工具的，出差人员应当索取相应的行政事业单位资金往来结算票据或税务发票等凭证，个人保存备查，不作为报销依据。</w:t>
      </w:r>
    </w:p>
    <w:p>
      <w:pPr>
        <w:keepNext w:val="0"/>
        <w:keepLines w:val="0"/>
        <w:pageBreakBefore w:val="0"/>
        <w:kinsoku/>
        <w:wordWrap/>
        <w:overflowPunct/>
        <w:topLinePunct w:val="0"/>
        <w:autoSpaceDE/>
        <w:autoSpaceDN/>
        <w:bidi w:val="0"/>
        <w:adjustRightInd w:val="0"/>
        <w:snapToGrid w:val="0"/>
        <w:spacing w:beforeLines="100" w:afterLines="10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第六章  报销管理</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FangSong_GB2312" w:eastAsia="FangSong_GB2312"/>
          <w:color w:val="auto"/>
          <w:sz w:val="32"/>
          <w:szCs w:val="32"/>
        </w:rPr>
      </w:pPr>
      <w:r>
        <w:rPr>
          <w:rFonts w:hint="eastAsia" w:ascii="FangSong_GB2312" w:eastAsia="FangSong_GB2312"/>
          <w:b/>
          <w:color w:val="auto"/>
          <w:sz w:val="32"/>
          <w:szCs w:val="32"/>
        </w:rPr>
        <w:t>第二十一条</w:t>
      </w:r>
      <w:r>
        <w:rPr>
          <w:rFonts w:hint="eastAsia" w:ascii="FangSong_GB2312" w:eastAsia="FangSong_GB2312"/>
          <w:color w:val="auto"/>
          <w:sz w:val="32"/>
          <w:szCs w:val="32"/>
        </w:rPr>
        <w:t xml:space="preserve">  出差人员应当严格按规定开支差旅费，费用由所在单位承担，不得向下级单位、企业或其他单位转嫁。</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FangSong_GB2312" w:eastAsia="FangSong_GB2312"/>
          <w:color w:val="auto"/>
          <w:sz w:val="32"/>
          <w:szCs w:val="32"/>
        </w:rPr>
      </w:pPr>
      <w:r>
        <w:rPr>
          <w:rFonts w:hint="eastAsia" w:ascii="FangSong_GB2312" w:eastAsia="FangSong_GB2312"/>
          <w:b/>
          <w:color w:val="auto"/>
          <w:sz w:val="32"/>
          <w:szCs w:val="32"/>
        </w:rPr>
        <w:t>第二十二条</w:t>
      </w:r>
      <w:r>
        <w:rPr>
          <w:rFonts w:hint="eastAsia" w:ascii="FangSong_GB2312" w:eastAsia="FangSong_GB2312"/>
          <w:color w:val="auto"/>
          <w:sz w:val="32"/>
          <w:szCs w:val="32"/>
        </w:rPr>
        <w:t xml:space="preserve">  城市间交通费按乘坐交通工具的等级凭据报销，订票费、经批准发生的签转或退票费、交通意外保险费凭据报销。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住宿费在标准限额之内凭发票据实报销。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伙食补助费、市内交通费按规定标准报销。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未按规定标准开支差旅费的，超支部分由个人自理。</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FangSong_GB2312" w:eastAsia="FangSong_GB2312"/>
          <w:color w:val="auto"/>
          <w:sz w:val="32"/>
          <w:szCs w:val="32"/>
        </w:rPr>
      </w:pPr>
      <w:r>
        <w:rPr>
          <w:rFonts w:hint="eastAsia" w:ascii="FangSong_GB2312" w:eastAsia="FangSong_GB2312"/>
          <w:b/>
          <w:color w:val="auto"/>
          <w:sz w:val="32"/>
          <w:szCs w:val="32"/>
        </w:rPr>
        <w:t>第二十三条</w:t>
      </w:r>
      <w:r>
        <w:rPr>
          <w:rFonts w:hint="eastAsia" w:ascii="FangSong_GB2312" w:eastAsia="FangSong_GB2312"/>
          <w:color w:val="auto"/>
          <w:sz w:val="32"/>
          <w:szCs w:val="32"/>
        </w:rPr>
        <w:t xml:space="preserve">  工作人员出差结束后应当及时办理报销手续。差旅费报销时应当提供出差审批单、机票、车票、住宿费发票等凭证。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住宿费、机票支出等按规定以公务卡方式结算。</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FangSong_GB2312" w:eastAsia="FangSong_GB2312"/>
          <w:color w:val="auto"/>
          <w:sz w:val="32"/>
          <w:szCs w:val="32"/>
        </w:rPr>
      </w:pPr>
      <w:r>
        <w:rPr>
          <w:rFonts w:hint="eastAsia" w:ascii="FangSong_GB2312" w:eastAsia="FangSong_GB2312"/>
          <w:b/>
          <w:color w:val="auto"/>
          <w:sz w:val="32"/>
          <w:szCs w:val="32"/>
        </w:rPr>
        <w:t>第二十四条</w:t>
      </w:r>
      <w:r>
        <w:rPr>
          <w:rFonts w:hint="eastAsia" w:ascii="FangSong_GB2312" w:eastAsia="FangSong_GB2312"/>
          <w:color w:val="auto"/>
          <w:sz w:val="32"/>
          <w:szCs w:val="32"/>
        </w:rPr>
        <w:t xml:space="preserve">  财务部门应当严格按规定审核差旅费开支，对未经批准出差，以及超范围、超标准开支的费用不予报销。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实际发生住宿而无住宿费发票的，不得报销住宿费以及城市间交通费、伙食补助费和市内交通费。</w:t>
      </w:r>
    </w:p>
    <w:p>
      <w:pPr>
        <w:keepNext w:val="0"/>
        <w:keepLines w:val="0"/>
        <w:pageBreakBefore w:val="0"/>
        <w:kinsoku/>
        <w:wordWrap/>
        <w:overflowPunct/>
        <w:topLinePunct w:val="0"/>
        <w:autoSpaceDE/>
        <w:autoSpaceDN/>
        <w:bidi w:val="0"/>
        <w:adjustRightInd w:val="0"/>
        <w:snapToGrid w:val="0"/>
        <w:spacing w:beforeLines="100" w:afterLines="10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第七章 监督问责</w:t>
      </w:r>
    </w:p>
    <w:p>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ascii="FangSong_GB2312" w:eastAsia="FangSong_GB2312"/>
          <w:color w:val="auto"/>
          <w:sz w:val="32"/>
          <w:szCs w:val="32"/>
        </w:rPr>
      </w:pPr>
      <w:r>
        <w:rPr>
          <w:rFonts w:hint="eastAsia" w:ascii="FangSong_GB2312" w:eastAsia="FangSong_GB2312"/>
          <w:b/>
          <w:color w:val="auto"/>
          <w:sz w:val="32"/>
          <w:szCs w:val="32"/>
        </w:rPr>
        <w:t>第二十五条</w:t>
      </w:r>
      <w:r>
        <w:rPr>
          <w:rFonts w:hint="eastAsia" w:ascii="FangSong_GB2312" w:eastAsia="FangSong_GB2312"/>
          <w:color w:val="auto"/>
          <w:sz w:val="32"/>
          <w:szCs w:val="32"/>
        </w:rPr>
        <w:t xml:space="preserve">  各部门应当严格按照差旅费制度和厉行节约反对浪费的有关规定，加强出差审批管理，从严控制出差人数和天数，严格差旅费预算管理和报销审核，控制差旅费支出规模。对违反差旅费管理规定的行为，有关部门应依法依规追究相关单位和人员的责任。</w:t>
      </w:r>
    </w:p>
    <w:p>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ascii="FangSong_GB2312" w:eastAsia="FangSong_GB2312"/>
          <w:color w:val="auto"/>
          <w:sz w:val="32"/>
          <w:szCs w:val="32"/>
        </w:rPr>
      </w:pPr>
      <w:r>
        <w:rPr>
          <w:rFonts w:hint="eastAsia" w:ascii="FangSong_GB2312" w:eastAsia="FangSong_GB2312"/>
          <w:color w:val="auto"/>
          <w:sz w:val="32"/>
          <w:szCs w:val="32"/>
        </w:rPr>
        <w:t>学校应加强对本单位工作人员出差活动和经费报销的内控管理，对学校差旅审批制度、差旅费预算及规模控制负责，相关领导、财务人员等对差旅费报销进行审核把关，确保票据来源合法，内容真实完整、合规。对未经批准擅自出差、不按规定开支和报销差旅费的人员将按照有关规定进行处理。</w:t>
      </w:r>
    </w:p>
    <w:p>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ascii="FangSong_GB2312" w:eastAsia="FangSong_GB2312"/>
          <w:color w:val="auto"/>
          <w:sz w:val="32"/>
          <w:szCs w:val="32"/>
        </w:rPr>
      </w:pPr>
      <w:r>
        <w:rPr>
          <w:rFonts w:hint="eastAsia" w:ascii="FangSong_GB2312" w:eastAsia="FangSong_GB2312"/>
          <w:color w:val="auto"/>
          <w:sz w:val="32"/>
          <w:szCs w:val="32"/>
        </w:rPr>
        <w:t>各部门应当自觉接受审计部门对出差活动及相关经费支出的审计监督。</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FangSong_GB2312" w:eastAsia="FangSong_GB2312"/>
          <w:color w:val="auto"/>
          <w:sz w:val="32"/>
          <w:szCs w:val="32"/>
        </w:rPr>
      </w:pPr>
      <w:r>
        <w:rPr>
          <w:rFonts w:hint="eastAsia" w:ascii="FangSong_GB2312" w:eastAsia="FangSong_GB2312"/>
          <w:color w:val="auto"/>
          <w:sz w:val="32"/>
          <w:szCs w:val="32"/>
        </w:rPr>
        <w:t>　　</w:t>
      </w:r>
      <w:r>
        <w:rPr>
          <w:rFonts w:hint="eastAsia" w:ascii="FangSong_GB2312" w:eastAsia="FangSong_GB2312"/>
          <w:b/>
          <w:color w:val="auto"/>
          <w:sz w:val="32"/>
          <w:szCs w:val="32"/>
        </w:rPr>
        <w:t>第二十六条</w:t>
      </w:r>
      <w:r>
        <w:rPr>
          <w:rFonts w:hint="eastAsia" w:ascii="FangSong_GB2312" w:eastAsia="FangSong_GB2312"/>
          <w:color w:val="auto"/>
          <w:sz w:val="32"/>
          <w:szCs w:val="32"/>
        </w:rPr>
        <w:t xml:space="preserve">  出差人员不得向接待单位提出正常公务活动以外的要求，不得在出差期间接受违反规定用公款支付的宴请、游览和非工作需要的参观，不得接受礼品、礼金和土特产品等。</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FangSong_GB2312" w:eastAsia="FangSong_GB2312"/>
          <w:color w:val="auto"/>
          <w:sz w:val="32"/>
          <w:szCs w:val="32"/>
        </w:rPr>
      </w:pPr>
      <w:r>
        <w:rPr>
          <w:rFonts w:hint="eastAsia" w:ascii="FangSong_GB2312" w:eastAsia="FangSong_GB2312"/>
          <w:color w:val="auto"/>
          <w:sz w:val="32"/>
          <w:szCs w:val="32"/>
        </w:rPr>
        <w:t>　　</w:t>
      </w:r>
      <w:r>
        <w:rPr>
          <w:rFonts w:hint="eastAsia" w:ascii="FangSong_GB2312" w:eastAsia="FangSong_GB2312"/>
          <w:b/>
          <w:color w:val="auto"/>
          <w:sz w:val="32"/>
          <w:szCs w:val="32"/>
        </w:rPr>
        <w:t>第二十七条</w:t>
      </w:r>
      <w:r>
        <w:rPr>
          <w:rFonts w:hint="eastAsia" w:ascii="FangSong_GB2312" w:eastAsia="FangSong_GB2312"/>
          <w:color w:val="auto"/>
          <w:sz w:val="32"/>
          <w:szCs w:val="32"/>
        </w:rPr>
        <w:t xml:space="preserve">  违反本办法规定，有下列行为之一的，依照《财政违法行为处罚处分条例》（国务院令第427号）追究相关人员的责任：</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FangSong_GB2312" w:eastAsia="FangSong_GB2312"/>
          <w:color w:val="auto"/>
          <w:sz w:val="32"/>
          <w:szCs w:val="32"/>
        </w:rPr>
      </w:pPr>
      <w:r>
        <w:rPr>
          <w:rFonts w:hint="eastAsia" w:ascii="FangSong_GB2312" w:eastAsia="FangSong_GB2312"/>
          <w:color w:val="auto"/>
          <w:sz w:val="32"/>
          <w:szCs w:val="32"/>
        </w:rPr>
        <w:t>　　（一）虚报冒领差旅费；</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FangSong_GB2312" w:eastAsia="FangSong_GB2312"/>
          <w:color w:val="auto"/>
          <w:sz w:val="32"/>
          <w:szCs w:val="32"/>
        </w:rPr>
      </w:pPr>
      <w:r>
        <w:rPr>
          <w:rFonts w:hint="eastAsia" w:ascii="FangSong_GB2312" w:eastAsia="FangSong_GB2312"/>
          <w:color w:val="auto"/>
          <w:sz w:val="32"/>
          <w:szCs w:val="32"/>
        </w:rPr>
        <w:t>　　（二）不按规定报销差旅费；</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FangSong_GB2312" w:eastAsia="FangSong_GB2312"/>
          <w:color w:val="auto"/>
          <w:sz w:val="32"/>
          <w:szCs w:val="32"/>
        </w:rPr>
      </w:pPr>
      <w:r>
        <w:rPr>
          <w:rFonts w:hint="eastAsia" w:ascii="FangSong_GB2312" w:eastAsia="FangSong_GB2312"/>
          <w:color w:val="auto"/>
          <w:sz w:val="32"/>
          <w:szCs w:val="32"/>
        </w:rPr>
        <w:t>　　（三）转嫁差旅费；</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FangSong_GB2312" w:eastAsia="FangSong_GB2312"/>
          <w:color w:val="auto"/>
          <w:sz w:val="32"/>
          <w:szCs w:val="32"/>
        </w:rPr>
      </w:pPr>
      <w:r>
        <w:rPr>
          <w:rFonts w:hint="eastAsia" w:ascii="FangSong_GB2312" w:eastAsia="FangSong_GB2312"/>
          <w:color w:val="auto"/>
          <w:sz w:val="32"/>
          <w:szCs w:val="32"/>
        </w:rPr>
        <w:t>　　（四）其他违反本办法的行为。</w:t>
      </w:r>
    </w:p>
    <w:p>
      <w:pPr>
        <w:keepNext w:val="0"/>
        <w:keepLines w:val="0"/>
        <w:pageBreakBefore w:val="0"/>
        <w:kinsoku/>
        <w:wordWrap/>
        <w:overflowPunct/>
        <w:topLinePunct w:val="0"/>
        <w:autoSpaceDE/>
        <w:autoSpaceDN/>
        <w:bidi w:val="0"/>
        <w:adjustRightInd w:val="0"/>
        <w:snapToGrid w:val="0"/>
        <w:spacing w:line="560" w:lineRule="exact"/>
        <w:ind w:firstLine="660"/>
        <w:textAlignment w:val="auto"/>
        <w:rPr>
          <w:rFonts w:ascii="FangSong_GB2312" w:eastAsia="FangSong_GB2312"/>
          <w:color w:val="auto"/>
          <w:sz w:val="32"/>
          <w:szCs w:val="32"/>
        </w:rPr>
      </w:pPr>
      <w:r>
        <w:rPr>
          <w:rFonts w:hint="eastAsia" w:ascii="FangSong_GB2312" w:eastAsia="FangSong_GB2312"/>
          <w:color w:val="auto"/>
          <w:sz w:val="32"/>
          <w:szCs w:val="32"/>
        </w:rPr>
        <w:t xml:space="preserve">有前款所列行为之一的，由财务处会同有关部门责令改正，违规资金应予追回，并视情况予以通报。对直接责任人和相关负责人，报请其所在部门按规定给予行政处分。涉嫌违法的，移交司法机关处理。　　 </w:t>
      </w:r>
    </w:p>
    <w:p>
      <w:pPr>
        <w:keepNext w:val="0"/>
        <w:keepLines w:val="0"/>
        <w:pageBreakBefore w:val="0"/>
        <w:kinsoku/>
        <w:wordWrap/>
        <w:overflowPunct/>
        <w:topLinePunct w:val="0"/>
        <w:autoSpaceDE/>
        <w:autoSpaceDN/>
        <w:bidi w:val="0"/>
        <w:adjustRightInd w:val="0"/>
        <w:snapToGrid w:val="0"/>
        <w:spacing w:beforeLines="100" w:afterLines="10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第八章  附 则</w:t>
      </w:r>
    </w:p>
    <w:p>
      <w:pPr>
        <w:keepNext w:val="0"/>
        <w:keepLines w:val="0"/>
        <w:pageBreakBefore w:val="0"/>
        <w:kinsoku/>
        <w:wordWrap/>
        <w:overflowPunct/>
        <w:topLinePunct w:val="0"/>
        <w:autoSpaceDE/>
        <w:autoSpaceDN/>
        <w:bidi w:val="0"/>
        <w:adjustRightInd w:val="0"/>
        <w:snapToGrid w:val="0"/>
        <w:spacing w:line="560" w:lineRule="exact"/>
        <w:ind w:firstLine="660"/>
        <w:textAlignment w:val="auto"/>
        <w:rPr>
          <w:rFonts w:ascii="FangSong_GB2312" w:eastAsia="FangSong_GB2312"/>
          <w:color w:val="auto"/>
          <w:sz w:val="32"/>
          <w:szCs w:val="32"/>
        </w:rPr>
      </w:pPr>
      <w:r>
        <w:rPr>
          <w:rFonts w:hint="eastAsia" w:ascii="FangSong_GB2312" w:eastAsia="FangSong_GB2312"/>
          <w:b/>
          <w:color w:val="auto"/>
          <w:sz w:val="32"/>
          <w:szCs w:val="32"/>
        </w:rPr>
        <w:t xml:space="preserve">第二十八条 </w:t>
      </w:r>
      <w:r>
        <w:rPr>
          <w:rFonts w:hint="eastAsia" w:ascii="FangSong_GB2312" w:eastAsia="FangSong_GB2312"/>
          <w:color w:val="auto"/>
          <w:sz w:val="32"/>
          <w:szCs w:val="32"/>
        </w:rPr>
        <w:t xml:space="preserve"> 工作人员外出参加会议、培训，举办单位统一安排食宿的，会议、培训期间的食宿费和市内交通费由会议、培训举办单位按规定统一开支；往返会议、培训地点的差旅费由所在单位按照规定报销。</w:t>
      </w:r>
    </w:p>
    <w:p>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ascii="FangSong_GB2312" w:eastAsia="FangSong_GB2312"/>
          <w:color w:val="auto"/>
          <w:sz w:val="32"/>
          <w:szCs w:val="32"/>
        </w:rPr>
      </w:pPr>
      <w:r>
        <w:rPr>
          <w:rFonts w:hint="eastAsia" w:ascii="FangSong_GB2312" w:eastAsia="FangSong_GB2312"/>
          <w:b/>
          <w:color w:val="auto"/>
          <w:sz w:val="32"/>
          <w:szCs w:val="32"/>
        </w:rPr>
        <w:t xml:space="preserve">第二十九条 </w:t>
      </w:r>
      <w:r>
        <w:rPr>
          <w:rFonts w:hint="eastAsia" w:ascii="FangSong_GB2312" w:eastAsia="FangSong_GB2312"/>
          <w:color w:val="auto"/>
          <w:sz w:val="32"/>
          <w:szCs w:val="32"/>
        </w:rPr>
        <w:t xml:space="preserve"> 到常驻地以外实（见）习、工作锻炼、跟岗实习、支援工作以及参加各种工作队的人员，在外地工作期间每天的伙食补助费，省外按50元，省内按25元补助，不再报销住宿费和市内交通费。援藏、援疆干部的生活待遇按照有关规定执行。</w:t>
      </w:r>
    </w:p>
    <w:p>
      <w:pPr>
        <w:keepNext w:val="0"/>
        <w:keepLines w:val="0"/>
        <w:pageBreakBefore w:val="0"/>
        <w:kinsoku/>
        <w:wordWrap/>
        <w:overflowPunct/>
        <w:topLinePunct w:val="0"/>
        <w:autoSpaceDE/>
        <w:autoSpaceDN/>
        <w:bidi w:val="0"/>
        <w:adjustRightInd w:val="0"/>
        <w:snapToGrid w:val="0"/>
        <w:spacing w:line="560" w:lineRule="exact"/>
        <w:ind w:firstLine="630" w:firstLineChars="196"/>
        <w:jc w:val="left"/>
        <w:textAlignment w:val="auto"/>
        <w:rPr>
          <w:rFonts w:ascii="FangSong_GB2312" w:eastAsia="FangSong_GB2312" w:cs="宋体"/>
          <w:color w:val="auto"/>
          <w:kern w:val="0"/>
          <w:sz w:val="32"/>
          <w:szCs w:val="32"/>
        </w:rPr>
      </w:pPr>
      <w:r>
        <w:rPr>
          <w:rFonts w:hint="eastAsia" w:ascii="FangSong_GB2312" w:eastAsia="FangSong_GB2312"/>
          <w:b/>
          <w:color w:val="auto"/>
          <w:sz w:val="32"/>
          <w:szCs w:val="32"/>
        </w:rPr>
        <w:t>第三十条</w:t>
      </w:r>
      <w:r>
        <w:rPr>
          <w:rFonts w:hint="eastAsia" w:ascii="FangSong_GB2312" w:eastAsia="FangSong_GB2312"/>
          <w:color w:val="auto"/>
          <w:sz w:val="32"/>
          <w:szCs w:val="32"/>
        </w:rPr>
        <w:t xml:space="preserve"> 本办法自发布之日起</w:t>
      </w:r>
      <w:r>
        <w:rPr>
          <w:rFonts w:hint="eastAsia" w:ascii="FangSong_GB2312" w:eastAsia="FangSong_GB2312"/>
          <w:color w:val="auto"/>
          <w:sz w:val="32"/>
          <w:szCs w:val="32"/>
          <w:lang w:eastAsia="zh-CN"/>
        </w:rPr>
        <w:t>施行</w:t>
      </w:r>
      <w:r>
        <w:rPr>
          <w:rFonts w:hint="eastAsia" w:ascii="FangSong_GB2312" w:eastAsia="FangSong_GB2312"/>
          <w:color w:val="auto"/>
          <w:sz w:val="32"/>
          <w:szCs w:val="32"/>
        </w:rPr>
        <w:t>。</w:t>
      </w:r>
    </w:p>
    <w:p>
      <w:pPr>
        <w:keepNext w:val="0"/>
        <w:keepLines w:val="0"/>
        <w:pageBreakBefore w:val="0"/>
        <w:kinsoku/>
        <w:wordWrap/>
        <w:overflowPunct/>
        <w:topLinePunct w:val="0"/>
        <w:autoSpaceDE/>
        <w:autoSpaceDN/>
        <w:bidi w:val="0"/>
        <w:spacing w:line="560" w:lineRule="exact"/>
        <w:textAlignment w:val="auto"/>
        <w:rPr>
          <w:rFonts w:ascii="FangSong_GB2312" w:eastAsia="FangSong_GB2312"/>
          <w:color w:val="auto"/>
          <w:sz w:val="32"/>
          <w:szCs w:val="32"/>
        </w:rPr>
      </w:pPr>
      <w:r>
        <w:rPr>
          <w:rFonts w:hint="eastAsia" w:ascii="FangSong_GB2312" w:eastAsia="FangSong_GB2312"/>
          <w:b/>
          <w:color w:val="auto"/>
          <w:sz w:val="32"/>
          <w:szCs w:val="32"/>
        </w:rPr>
        <w:t xml:space="preserve">    第三十一条 </w:t>
      </w:r>
      <w:r>
        <w:rPr>
          <w:rFonts w:hint="eastAsia" w:ascii="FangSong_GB2312" w:eastAsia="FangSong_GB2312"/>
          <w:color w:val="auto"/>
          <w:sz w:val="32"/>
          <w:szCs w:val="32"/>
        </w:rPr>
        <w:t xml:space="preserve"> 本办法由财务处负责解释。</w:t>
      </w:r>
    </w:p>
    <w:p>
      <w:pPr>
        <w:keepNext w:val="0"/>
        <w:keepLines w:val="0"/>
        <w:pageBreakBefore w:val="0"/>
        <w:widowControl/>
        <w:kinsoku/>
        <w:wordWrap/>
        <w:overflowPunct/>
        <w:topLinePunct w:val="0"/>
        <w:autoSpaceDE/>
        <w:autoSpaceDN/>
        <w:bidi w:val="0"/>
        <w:spacing w:line="560" w:lineRule="exact"/>
        <w:jc w:val="both"/>
        <w:textAlignment w:val="auto"/>
        <w:rPr>
          <w:rFonts w:ascii="FangSong_GB2312" w:eastAsia="FangSong_GB2312"/>
          <w:color w:val="auto"/>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OTJlYzc2YWJmY2JmZDgyNzJlMDBhNmI2Nzg4YjgifQ=="/>
  </w:docVars>
  <w:rsids>
    <w:rsidRoot w:val="00000000"/>
    <w:rsid w:val="182716B0"/>
    <w:rsid w:val="3D95517D"/>
    <w:rsid w:val="446F3104"/>
    <w:rsid w:val="6FBD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99"/>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3594</Words>
  <Characters>4045</Characters>
  <Lines>0</Lines>
  <Paragraphs>0</Paragraphs>
  <TotalTime>6</TotalTime>
  <ScaleCrop>false</ScaleCrop>
  <LinksUpToDate>false</LinksUpToDate>
  <CharactersWithSpaces>4345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2022-10-14T08:19:00Z</dcterms:created>
  <dc:creator>Administrator.DESKTOP-LDORORR</dc:creator>
  <cp:lastModifiedBy>朱亚涛</cp:lastModifiedBy>
  <dcterms:modified xsi:type="dcterms:W3CDTF">2022-10-14T08:39:10Z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B97FC1E1B36546FFAFDD77842AC889E2</vt:lpwstr>
  </property>
</Properties>
</file>