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eastAsia="方正小标宋简体" w:cs="华文中宋"/>
          <w:sz w:val="44"/>
          <w:szCs w:val="40"/>
        </w:rPr>
      </w:pPr>
    </w:p>
    <w:p>
      <w:pPr>
        <w:spacing w:line="560" w:lineRule="exact"/>
        <w:jc w:val="center"/>
        <w:rPr>
          <w:rFonts w:eastAsia="方正小标宋简体" w:cs="华文中宋"/>
          <w:sz w:val="44"/>
          <w:szCs w:val="40"/>
        </w:rPr>
      </w:pPr>
      <w:r>
        <w:rPr>
          <w:rFonts w:hint="eastAsia" w:eastAsia="方正小标宋简体" w:cs="华文中宋"/>
          <w:sz w:val="44"/>
          <w:szCs w:val="40"/>
        </w:rPr>
        <w:t>承德应用技术职业学院</w:t>
      </w:r>
    </w:p>
    <w:p>
      <w:pPr>
        <w:spacing w:after="312" w:afterLines="100" w:line="560" w:lineRule="exact"/>
        <w:jc w:val="center"/>
        <w:rPr>
          <w:rFonts w:hint="eastAsia" w:eastAsia="方正小标宋简体" w:cs="华文中宋"/>
          <w:sz w:val="44"/>
          <w:szCs w:val="40"/>
        </w:rPr>
      </w:pPr>
      <w:bookmarkStart w:id="0" w:name="_GoBack"/>
      <w:r>
        <w:rPr>
          <w:rFonts w:hint="eastAsia" w:eastAsia="方正小标宋简体" w:cs="华文中宋"/>
          <w:sz w:val="44"/>
          <w:szCs w:val="40"/>
        </w:rPr>
        <w:t>预算项目绩效自评管理办法（试行）</w:t>
      </w:r>
    </w:p>
    <w:bookmarkEnd w:id="0"/>
    <w:p>
      <w:pPr>
        <w:spacing w:after="312" w:afterLines="100" w:line="560" w:lineRule="exact"/>
        <w:jc w:val="center"/>
        <w:rPr>
          <w:rFonts w:hint="eastAsia" w:ascii="仿宋_GB2312" w:hAnsi="仿宋_GB2312" w:eastAsia="仿宋_GB2312" w:cs="仿宋_GB2312"/>
          <w:sz w:val="32"/>
          <w:szCs w:val="32"/>
        </w:rPr>
      </w:pPr>
    </w:p>
    <w:p>
      <w:pPr>
        <w:spacing w:line="560" w:lineRule="exact"/>
        <w:ind w:firstLine="643" w:firstLineChars="200"/>
        <w:rPr>
          <w:rFonts w:ascii="仿宋_GB2312" w:eastAsia="仿宋_GB2312" w:cs="仿宋"/>
          <w:sz w:val="32"/>
          <w:szCs w:val="32"/>
        </w:rPr>
      </w:pPr>
      <w:r>
        <w:rPr>
          <w:rFonts w:hint="eastAsia" w:ascii="仿宋_GB2312" w:eastAsia="仿宋_GB2312" w:cs="仿宋"/>
          <w:b/>
          <w:sz w:val="32"/>
          <w:szCs w:val="32"/>
        </w:rPr>
        <w:t>第一条</w:t>
      </w:r>
      <w:r>
        <w:rPr>
          <w:rFonts w:hint="eastAsia" w:ascii="仿宋_GB2312" w:eastAsia="仿宋_GB2312" w:cs="仿宋"/>
          <w:sz w:val="32"/>
          <w:szCs w:val="32"/>
        </w:rPr>
        <w:t xml:space="preserve"> 根据《中华人民共和国预算法》《中共承德市委承德市人民政府关于全面实施预算绩效管理的实施意见》（承发〔2019〕9号）有关规定，</w:t>
      </w:r>
      <w:r>
        <w:rPr>
          <w:rFonts w:hint="eastAsia" w:ascii="仿宋_GB2312" w:eastAsia="仿宋_GB2312" w:cs="仿宋"/>
          <w:color w:val="000000" w:themeColor="text1"/>
          <w:sz w:val="32"/>
          <w:szCs w:val="32"/>
        </w:rPr>
        <w:t>为加强学院项目支出绩效管理，</w:t>
      </w:r>
      <w:r>
        <w:rPr>
          <w:rFonts w:hint="eastAsia" w:ascii="仿宋_GB2312" w:eastAsia="仿宋_GB2312" w:cs="仿宋"/>
          <w:sz w:val="32"/>
          <w:szCs w:val="32"/>
        </w:rPr>
        <w:t>提高项目资金使用效益和公共服务质量，结合学院实际，制定本办法。</w:t>
      </w:r>
    </w:p>
    <w:p>
      <w:pPr>
        <w:spacing w:line="560" w:lineRule="exact"/>
        <w:ind w:firstLine="643" w:firstLineChars="200"/>
        <w:rPr>
          <w:rFonts w:ascii="仿宋_GB2312" w:eastAsia="仿宋_GB2312" w:cs="仿宋"/>
          <w:sz w:val="32"/>
          <w:szCs w:val="32"/>
        </w:rPr>
      </w:pPr>
      <w:r>
        <w:rPr>
          <w:rFonts w:hint="eastAsia" w:ascii="仿宋_GB2312" w:eastAsia="仿宋_GB2312" w:cs="仿宋"/>
          <w:b/>
          <w:sz w:val="32"/>
          <w:szCs w:val="32"/>
        </w:rPr>
        <w:t>第二条</w:t>
      </w:r>
      <w:r>
        <w:rPr>
          <w:rFonts w:hint="eastAsia" w:ascii="仿宋_GB2312" w:eastAsia="仿宋_GB2312" w:cs="仿宋"/>
          <w:sz w:val="32"/>
          <w:szCs w:val="32"/>
        </w:rPr>
        <w:t xml:space="preserve"> 年度预算执行终了，所有使用财政预算资金实施项目的预算单位都要开展预算项目绩效自评，评价对象包括预算单位使用的所有专项资金和项目支出资金，重点评价年初绩效目标指标的实现情况。</w:t>
      </w:r>
    </w:p>
    <w:p>
      <w:pPr>
        <w:spacing w:line="560" w:lineRule="exact"/>
        <w:ind w:firstLine="643" w:firstLineChars="200"/>
        <w:rPr>
          <w:rFonts w:ascii="仿宋_GB2312" w:eastAsia="仿宋_GB2312" w:cs="仿宋"/>
          <w:sz w:val="32"/>
          <w:szCs w:val="32"/>
        </w:rPr>
      </w:pPr>
      <w:r>
        <w:rPr>
          <w:rFonts w:hint="eastAsia" w:ascii="仿宋_GB2312" w:eastAsia="仿宋_GB2312" w:cs="仿宋"/>
          <w:b/>
          <w:sz w:val="32"/>
          <w:szCs w:val="32"/>
        </w:rPr>
        <w:t>第三条</w:t>
      </w:r>
      <w:r>
        <w:rPr>
          <w:rFonts w:hint="eastAsia" w:ascii="仿宋_GB2312" w:eastAsia="仿宋_GB2312" w:cs="仿宋"/>
          <w:sz w:val="32"/>
          <w:szCs w:val="32"/>
        </w:rPr>
        <w:t xml:space="preserve"> 学院是绩效自评工作的主体，负责制定学院绩效自评制度办法，具体组织实施学院绩效自评工作，加强绩效自评结果应用。</w:t>
      </w:r>
    </w:p>
    <w:p>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绩效项目自评由学院预算项目实施的各部门自主实施，即“谁支出、谁自评”的原则，学院预算项目实施的各部门对自评结果的真实性、合法性、完整性负责。</w:t>
      </w:r>
    </w:p>
    <w:p>
      <w:pPr>
        <w:spacing w:line="560" w:lineRule="exact"/>
        <w:ind w:firstLine="643" w:firstLineChars="200"/>
        <w:rPr>
          <w:rFonts w:ascii="仿宋_GB2312" w:eastAsia="仿宋_GB2312" w:cs="仿宋"/>
          <w:sz w:val="32"/>
          <w:szCs w:val="32"/>
        </w:rPr>
      </w:pPr>
      <w:r>
        <w:rPr>
          <w:rFonts w:hint="eastAsia" w:ascii="仿宋_GB2312" w:eastAsia="仿宋_GB2312" w:cs="仿宋"/>
          <w:b/>
          <w:sz w:val="32"/>
          <w:szCs w:val="32"/>
        </w:rPr>
        <w:t>第四条</w:t>
      </w:r>
      <w:r>
        <w:rPr>
          <w:rFonts w:hint="eastAsia" w:ascii="仿宋_GB2312" w:eastAsia="仿宋_GB2312" w:cs="仿宋"/>
          <w:sz w:val="32"/>
          <w:szCs w:val="32"/>
        </w:rPr>
        <w:t xml:space="preserve"> 绩效自评工作应遵循全面覆盖、程序简便、客观公正、公开透明的原则。</w:t>
      </w:r>
    </w:p>
    <w:p>
      <w:pPr>
        <w:spacing w:line="560" w:lineRule="exact"/>
        <w:ind w:firstLine="643" w:firstLineChars="200"/>
        <w:rPr>
          <w:rFonts w:ascii="仿宋_GB2312" w:eastAsia="仿宋_GB2312" w:cs="仿宋"/>
          <w:sz w:val="32"/>
          <w:szCs w:val="32"/>
        </w:rPr>
      </w:pPr>
      <w:r>
        <w:rPr>
          <w:rFonts w:hint="eastAsia" w:ascii="仿宋_GB2312" w:eastAsia="仿宋_GB2312" w:cs="仿宋"/>
          <w:b/>
          <w:sz w:val="32"/>
          <w:szCs w:val="32"/>
        </w:rPr>
        <w:t>第五条</w:t>
      </w:r>
      <w:r>
        <w:rPr>
          <w:rFonts w:hint="eastAsia" w:ascii="仿宋_GB2312" w:eastAsia="仿宋_GB2312" w:cs="仿宋"/>
          <w:sz w:val="32"/>
          <w:szCs w:val="32"/>
        </w:rPr>
        <w:t xml:space="preserve"> 绩效自评的主要依据：</w:t>
      </w:r>
    </w:p>
    <w:p>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（一）国家、省和市相关法律、法规及方针政策、规章制度；</w:t>
      </w:r>
    </w:p>
    <w:p>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（二）国家、省和市国民经济与社会发展规划；</w:t>
      </w:r>
    </w:p>
    <w:p>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（三）国家、省和市制定的预算绩效管理制度、资金使用管理办法；</w:t>
      </w:r>
    </w:p>
    <w:p>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（四）</w:t>
      </w:r>
      <w:r>
        <w:rPr>
          <w:rFonts w:hint="eastAsia" w:ascii="仿宋_GB2312" w:eastAsia="仿宋_GB2312" w:cs="仿宋"/>
          <w:sz w:val="32"/>
          <w:szCs w:val="32"/>
        </w:rPr>
        <w:tab/>
      </w:r>
      <w:r>
        <w:rPr>
          <w:rFonts w:hint="eastAsia" w:ascii="仿宋_GB2312" w:eastAsia="仿宋_GB2312" w:cs="仿宋"/>
          <w:sz w:val="32"/>
          <w:szCs w:val="32"/>
        </w:rPr>
        <w:t>学院职责、中长期发展规划和年度工作计划；</w:t>
      </w:r>
    </w:p>
    <w:p>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（五）</w:t>
      </w:r>
      <w:r>
        <w:rPr>
          <w:rFonts w:hint="eastAsia" w:ascii="仿宋_GB2312" w:eastAsia="仿宋_GB2312" w:cs="仿宋"/>
          <w:sz w:val="32"/>
          <w:szCs w:val="32"/>
        </w:rPr>
        <w:tab/>
      </w:r>
      <w:r>
        <w:rPr>
          <w:rFonts w:hint="eastAsia" w:ascii="仿宋_GB2312" w:eastAsia="仿宋_GB2312" w:cs="仿宋"/>
          <w:sz w:val="32"/>
          <w:szCs w:val="32"/>
        </w:rPr>
        <w:t>相关行业政策、行业标准及专业技术规范；</w:t>
      </w:r>
    </w:p>
    <w:p>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（六）</w:t>
      </w:r>
      <w:r>
        <w:rPr>
          <w:rFonts w:hint="eastAsia" w:ascii="仿宋_GB2312" w:eastAsia="仿宋_GB2312" w:cs="仿宋"/>
          <w:sz w:val="32"/>
          <w:szCs w:val="32"/>
        </w:rPr>
        <w:tab/>
      </w:r>
      <w:r>
        <w:rPr>
          <w:rFonts w:hint="eastAsia" w:ascii="仿宋_GB2312" w:eastAsia="仿宋_GB2312" w:cs="仿宋"/>
          <w:sz w:val="32"/>
          <w:szCs w:val="32"/>
        </w:rPr>
        <w:t>学院年初设定的绩效目标、绩效指标和绩效标准；</w:t>
      </w:r>
    </w:p>
    <w:p>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（七）</w:t>
      </w:r>
      <w:r>
        <w:rPr>
          <w:rFonts w:hint="eastAsia" w:ascii="仿宋_GB2312" w:eastAsia="仿宋_GB2312" w:cs="仿宋"/>
          <w:sz w:val="32"/>
          <w:szCs w:val="32"/>
        </w:rPr>
        <w:tab/>
      </w:r>
      <w:r>
        <w:rPr>
          <w:rFonts w:hint="eastAsia" w:ascii="仿宋_GB2312" w:eastAsia="仿宋_GB2312" w:cs="仿宋"/>
          <w:sz w:val="32"/>
          <w:szCs w:val="32"/>
        </w:rPr>
        <w:t>学院预算申报的相关材料、依法批复的部门预算，转移支付资金的相关资料；</w:t>
      </w:r>
    </w:p>
    <w:p>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（八）</w:t>
      </w:r>
      <w:r>
        <w:rPr>
          <w:rFonts w:hint="eastAsia" w:ascii="仿宋_GB2312" w:eastAsia="仿宋_GB2312" w:cs="仿宋"/>
          <w:sz w:val="32"/>
          <w:szCs w:val="32"/>
        </w:rPr>
        <w:tab/>
      </w:r>
      <w:r>
        <w:rPr>
          <w:rFonts w:hint="eastAsia" w:ascii="仿宋_GB2312" w:eastAsia="仿宋_GB2312" w:cs="仿宋"/>
          <w:sz w:val="32"/>
          <w:szCs w:val="32"/>
        </w:rPr>
        <w:t>其他相关材料。</w:t>
      </w:r>
    </w:p>
    <w:p>
      <w:pPr>
        <w:spacing w:line="560" w:lineRule="exact"/>
        <w:ind w:firstLine="643" w:firstLineChars="200"/>
        <w:rPr>
          <w:rFonts w:ascii="仿宋_GB2312" w:eastAsia="仿宋_GB2312" w:cs="仿宋"/>
          <w:sz w:val="32"/>
          <w:szCs w:val="32"/>
        </w:rPr>
      </w:pPr>
      <w:r>
        <w:rPr>
          <w:rFonts w:hint="eastAsia" w:ascii="仿宋_GB2312" w:eastAsia="仿宋_GB2312" w:cs="仿宋"/>
          <w:b/>
          <w:sz w:val="32"/>
          <w:szCs w:val="32"/>
        </w:rPr>
        <w:t xml:space="preserve">第六条 </w:t>
      </w:r>
      <w:r>
        <w:rPr>
          <w:rFonts w:hint="eastAsia" w:ascii="仿宋_GB2312" w:eastAsia="仿宋_GB2312" w:cs="仿宋"/>
          <w:sz w:val="32"/>
          <w:szCs w:val="32"/>
        </w:rPr>
        <w:t>绩效自评采取量化评分的形式，每个预算项目都要评出绩效分值，得分以百分制计算。</w:t>
      </w:r>
    </w:p>
    <w:p>
      <w:pPr>
        <w:spacing w:line="560" w:lineRule="exact"/>
        <w:ind w:firstLine="643" w:firstLineChars="200"/>
        <w:rPr>
          <w:rFonts w:ascii="仿宋_GB2312" w:eastAsia="仿宋_GB2312" w:cs="仿宋"/>
          <w:sz w:val="32"/>
          <w:szCs w:val="32"/>
        </w:rPr>
      </w:pPr>
      <w:r>
        <w:rPr>
          <w:rFonts w:hint="eastAsia" w:ascii="仿宋_GB2312" w:eastAsia="仿宋_GB2312" w:cs="仿宋"/>
          <w:b/>
          <w:sz w:val="32"/>
          <w:szCs w:val="32"/>
        </w:rPr>
        <w:t>第七条</w:t>
      </w:r>
      <w:r>
        <w:rPr>
          <w:rFonts w:hint="eastAsia" w:ascii="仿宋_GB2312" w:eastAsia="仿宋_GB2312" w:cs="仿宋"/>
          <w:sz w:val="32"/>
          <w:szCs w:val="32"/>
        </w:rPr>
        <w:t xml:space="preserve"> 项目绩效自评得分由各项指标得分加权汇总形成。其中，绩效指标权重由项目实施具体部门根据评价对象实际情况确定，总分设定为100分，其中：产出指标50分、效益指标30分、满意度指标10分、预算执行率指标10分。如某一类指标未设定，其分值可合理调整至其他指标，预算执行率指标必须设置且不得低于10分。</w:t>
      </w:r>
    </w:p>
    <w:p>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二、三级指标所占权重应当根据指标重要程度、项目实施阶段等因素综合确定，准确反映预算项目的产出和效果。</w:t>
      </w:r>
    </w:p>
    <w:p>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同类评价对象的指标权重设置应当基本一致，便于评价结果相互比较。</w:t>
      </w:r>
    </w:p>
    <w:p>
      <w:pPr>
        <w:spacing w:line="560" w:lineRule="exact"/>
        <w:ind w:firstLine="643" w:firstLineChars="200"/>
        <w:rPr>
          <w:rFonts w:ascii="仿宋_GB2312" w:eastAsia="仿宋_GB2312" w:cs="仿宋"/>
          <w:sz w:val="32"/>
          <w:szCs w:val="32"/>
        </w:rPr>
      </w:pPr>
      <w:r>
        <w:rPr>
          <w:rFonts w:hint="eastAsia" w:ascii="仿宋_GB2312" w:eastAsia="仿宋_GB2312" w:cs="仿宋"/>
          <w:b/>
          <w:sz w:val="32"/>
          <w:szCs w:val="32"/>
        </w:rPr>
        <w:t xml:space="preserve">第八条 </w:t>
      </w:r>
      <w:r>
        <w:rPr>
          <w:rFonts w:hint="eastAsia" w:ascii="仿宋_GB2312" w:eastAsia="仿宋_GB2312" w:cs="仿宋"/>
          <w:sz w:val="32"/>
          <w:szCs w:val="32"/>
        </w:rPr>
        <w:t>绩效指标得分按以下方法评定：属于定量指标的，完成指标值，记该指标所赋全部分值；未完成指标值，按照完成值与指标值的比例记分；对完成值高于指标值较多的，要分析原因，如果是由于年初指标值设定明显偏低造成的，要按照偏离度适度调减分值。属于定性指标的，要根据指标实现程度对应优、良、中、差四个等级，相应赋予分值，四个等级相应的分值区间一般为90分以上（含90分，以下类同）、80-90分、60-80分、60分以下。</w:t>
      </w:r>
    </w:p>
    <w:p>
      <w:pPr>
        <w:spacing w:line="560" w:lineRule="exact"/>
        <w:ind w:firstLine="643" w:firstLineChars="200"/>
        <w:rPr>
          <w:rFonts w:ascii="仿宋_GB2312" w:eastAsia="仿宋_GB2312" w:cs="仿宋"/>
          <w:sz w:val="32"/>
          <w:szCs w:val="32"/>
        </w:rPr>
      </w:pPr>
      <w:r>
        <w:rPr>
          <w:rFonts w:hint="eastAsia" w:ascii="仿宋_GB2312" w:eastAsia="仿宋_GB2312" w:cs="仿宋"/>
          <w:b/>
          <w:sz w:val="32"/>
          <w:szCs w:val="32"/>
        </w:rPr>
        <w:t>第九条</w:t>
      </w:r>
      <w:r>
        <w:rPr>
          <w:rFonts w:hint="eastAsia" w:ascii="仿宋_GB2312" w:eastAsia="仿宋_GB2312" w:cs="仿宋"/>
          <w:sz w:val="32"/>
          <w:szCs w:val="32"/>
        </w:rPr>
        <w:t xml:space="preserve"> 各部门应当按照年度开展绩效自评工作,具体工作程序如下：</w:t>
      </w:r>
    </w:p>
    <w:p>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（一）</w:t>
      </w:r>
      <w:r>
        <w:rPr>
          <w:rFonts w:hint="eastAsia" w:ascii="仿宋_GB2312" w:eastAsia="仿宋_GB2312" w:cs="仿宋"/>
          <w:sz w:val="32"/>
          <w:szCs w:val="32"/>
        </w:rPr>
        <w:tab/>
      </w:r>
      <w:r>
        <w:rPr>
          <w:rFonts w:hint="eastAsia" w:ascii="仿宋_GB2312" w:eastAsia="仿宋_GB2312" w:cs="仿宋"/>
          <w:sz w:val="32"/>
          <w:szCs w:val="32"/>
        </w:rPr>
        <w:t>绩效信息收集。年度预算执行完成后，项目实施部门全面收集、系统整理预算项目绩效完成信息，确认各项绩效指标实际完成值或实现程度。</w:t>
      </w:r>
    </w:p>
    <w:p>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（二）</w:t>
      </w:r>
      <w:r>
        <w:rPr>
          <w:rFonts w:hint="eastAsia" w:ascii="仿宋_GB2312" w:eastAsia="仿宋_GB2312" w:cs="仿宋"/>
          <w:sz w:val="32"/>
          <w:szCs w:val="32"/>
        </w:rPr>
        <w:tab/>
      </w:r>
      <w:r>
        <w:rPr>
          <w:rFonts w:hint="eastAsia" w:ascii="仿宋_GB2312" w:eastAsia="仿宋_GB2312" w:cs="仿宋"/>
          <w:sz w:val="32"/>
          <w:szCs w:val="32"/>
        </w:rPr>
        <w:t>绩效自评打分。将绩效指标实际完成值（实现程度）与年初设定的预期值相比较，逐项评定每项指标得分，汇总形成预算项目绩效自评得分。</w:t>
      </w:r>
    </w:p>
    <w:p>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（三）</w:t>
      </w:r>
      <w:r>
        <w:rPr>
          <w:rFonts w:hint="eastAsia" w:ascii="仿宋_GB2312" w:eastAsia="仿宋_GB2312" w:cs="仿宋"/>
          <w:sz w:val="32"/>
          <w:szCs w:val="32"/>
        </w:rPr>
        <w:tab/>
      </w:r>
      <w:r>
        <w:rPr>
          <w:rFonts w:hint="eastAsia" w:ascii="仿宋_GB2312" w:eastAsia="仿宋_GB2312" w:cs="仿宋"/>
          <w:sz w:val="32"/>
          <w:szCs w:val="32"/>
        </w:rPr>
        <w:t>绩效自评表填写。按照绩效自评表（见附件1）的格式和要求，逐项填写每项绩效指标得分、预算项目绩效自评得分，并简要分析绩效存在问题及原因、提出改进措施。</w:t>
      </w:r>
    </w:p>
    <w:p>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（四）</w:t>
      </w:r>
      <w:r>
        <w:rPr>
          <w:rFonts w:hint="eastAsia" w:ascii="仿宋_GB2312" w:eastAsia="仿宋_GB2312" w:cs="仿宋"/>
          <w:sz w:val="32"/>
          <w:szCs w:val="32"/>
        </w:rPr>
        <w:tab/>
      </w:r>
      <w:r>
        <w:rPr>
          <w:rFonts w:hint="eastAsia" w:ascii="仿宋_GB2312" w:eastAsia="仿宋_GB2312" w:cs="仿宋"/>
          <w:sz w:val="32"/>
          <w:szCs w:val="32"/>
        </w:rPr>
        <w:t>自评情况总结。绩效自评工作完成后，及时进行总结，形成专题报告。报告内容包括部门绩效自评组织开展情况，专项资金和具体预算支出项目绩效目标完成情况、存在问题分析及评价结论，年初绩效目标设定质量对比倒查情况下一步整改计划和具体措施等（格式见附件2）,其中对未完成绩效目标或偏离绩效目标较大的要单独列明，并分析说明原因，研究提出改进措施。</w:t>
      </w:r>
    </w:p>
    <w:p>
      <w:pPr>
        <w:spacing w:line="560" w:lineRule="exact"/>
        <w:ind w:firstLine="643" w:firstLineChars="200"/>
        <w:rPr>
          <w:rFonts w:ascii="仿宋_GB2312" w:eastAsia="仿宋_GB2312" w:cs="仿宋"/>
          <w:sz w:val="32"/>
          <w:szCs w:val="32"/>
        </w:rPr>
      </w:pPr>
      <w:r>
        <w:rPr>
          <w:rFonts w:hint="eastAsia" w:ascii="仿宋_GB2312" w:eastAsia="仿宋_GB2312" w:cs="仿宋"/>
          <w:b/>
          <w:sz w:val="32"/>
          <w:szCs w:val="32"/>
        </w:rPr>
        <w:t>第十条</w:t>
      </w:r>
      <w:r>
        <w:rPr>
          <w:rFonts w:hint="eastAsia" w:ascii="仿宋_GB2312" w:eastAsia="仿宋_GB2312" w:cs="仿宋"/>
          <w:sz w:val="32"/>
          <w:szCs w:val="32"/>
        </w:rPr>
        <w:t xml:space="preserve"> 绩效自评结果主要通过绩效自评表形式反映。学院应切实加强绩效自评结果的整理、分析和应用，将绩效自评结果作为安排预算、完善政策和改进管理的重要依据。</w:t>
      </w:r>
    </w:p>
    <w:p>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对预算执行率偏低、绩效自评结果较差的，要单独说明原因，提出整改措施，其中属于延续性项目的，在预算编制时从严从紧安排，调整资金投向和分配方法，持续优化各部门支出结构。</w:t>
      </w:r>
    </w:p>
    <w:p>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对自评结果与绩效目标偏离度较大的，要深入分析，其中属于目标指标设定不科学不合理的，要及时改进设定方式，提高绩效目标设定质量。</w:t>
      </w:r>
    </w:p>
    <w:p>
      <w:pPr>
        <w:spacing w:line="560" w:lineRule="exact"/>
        <w:ind w:firstLine="643" w:firstLineChars="200"/>
        <w:rPr>
          <w:rFonts w:ascii="仿宋_GB2312" w:eastAsia="仿宋_GB2312" w:cs="仿宋"/>
          <w:sz w:val="32"/>
          <w:szCs w:val="32"/>
        </w:rPr>
      </w:pPr>
      <w:r>
        <w:rPr>
          <w:rFonts w:hint="eastAsia" w:ascii="仿宋_GB2312" w:eastAsia="仿宋_GB2312" w:cs="仿宋"/>
          <w:b/>
          <w:sz w:val="32"/>
          <w:szCs w:val="32"/>
        </w:rPr>
        <w:t xml:space="preserve">第十一条 </w:t>
      </w:r>
      <w:r>
        <w:rPr>
          <w:rFonts w:hint="eastAsia" w:ascii="仿宋_GB2312" w:eastAsia="仿宋_GB2312" w:cs="仿宋"/>
          <w:sz w:val="32"/>
          <w:szCs w:val="32"/>
        </w:rPr>
        <w:t>学院应当将绩效自评工作开展情况、绩效自评结果按要求予以公开。</w:t>
      </w:r>
    </w:p>
    <w:p>
      <w:pPr>
        <w:spacing w:line="560" w:lineRule="exact"/>
        <w:ind w:firstLine="643" w:firstLineChars="200"/>
        <w:rPr>
          <w:rFonts w:ascii="仿宋_GB2312" w:eastAsia="仿宋_GB2312" w:cs="仿宋"/>
          <w:sz w:val="32"/>
          <w:szCs w:val="32"/>
        </w:rPr>
      </w:pPr>
      <w:r>
        <w:rPr>
          <w:rFonts w:hint="eastAsia" w:ascii="仿宋_GB2312" w:eastAsia="仿宋_GB2312" w:cs="仿宋"/>
          <w:b/>
          <w:sz w:val="32"/>
          <w:szCs w:val="32"/>
        </w:rPr>
        <w:t>第十二条</w:t>
      </w:r>
      <w:r>
        <w:rPr>
          <w:rFonts w:hint="eastAsia" w:ascii="仿宋_GB2312" w:eastAsia="仿宋_GB2312" w:cs="仿宋"/>
          <w:sz w:val="32"/>
          <w:szCs w:val="32"/>
        </w:rPr>
        <w:t xml:space="preserve"> 学院的绩效自评工作和结果应依法自觉接受财政、审计等监督。学院绩效自评工作完成后，市财政局部门预算主管科室组织对部门绩效自评情况进行核查,主要包括：绩效自评覆盖面、评价内容完整性、绩效目标指标设置合理性、绩效自评结果客观性、评价结果应用充分性等。</w:t>
      </w:r>
    </w:p>
    <w:p>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部门绩效自评工作开展情况，纳入学院预算绩效管理工作考核内容。</w:t>
      </w:r>
    </w:p>
    <w:p>
      <w:pPr>
        <w:spacing w:line="560" w:lineRule="exact"/>
        <w:ind w:firstLine="643" w:firstLineChars="200"/>
        <w:rPr>
          <w:rFonts w:ascii="仿宋_GB2312" w:eastAsia="仿宋_GB2312" w:cs="仿宋"/>
          <w:sz w:val="32"/>
          <w:szCs w:val="32"/>
        </w:rPr>
      </w:pPr>
      <w:r>
        <w:rPr>
          <w:rFonts w:hint="eastAsia" w:ascii="仿宋_GB2312" w:eastAsia="仿宋_GB2312" w:cs="仿宋"/>
          <w:b/>
          <w:sz w:val="32"/>
          <w:szCs w:val="32"/>
        </w:rPr>
        <w:t>第十三条</w:t>
      </w:r>
      <w:r>
        <w:rPr>
          <w:rFonts w:hint="eastAsia" w:ascii="仿宋_GB2312" w:eastAsia="仿宋_GB2312" w:cs="仿宋"/>
          <w:sz w:val="32"/>
          <w:szCs w:val="32"/>
        </w:rPr>
        <w:t xml:space="preserve"> 每年1月10日前，市财政局绩效评价科印发通知，统一布置上年度预算项目绩效自评工作；1月底前，各部门完成自评报财务处把关、汇总，形成学院年度自评报告；2月底前，将绩效自评表和自评工作报告报送市财政局部门预算主管科室，同时将绩效自评表通过河北财政信息系统一体化平台报送市财政局；3月底前，市财政局部门预算主管科室组织核查学院绩效自评情况，将核查结果反馈学院并督促整改，将学院自评结果和核查结果及整改落实情况交市财政局绩效评价科汇总存档。</w:t>
      </w:r>
    </w:p>
    <w:p>
      <w:pPr>
        <w:spacing w:line="560" w:lineRule="exact"/>
        <w:ind w:firstLine="643" w:firstLineChars="200"/>
        <w:rPr>
          <w:rFonts w:ascii="仿宋_GB2312" w:eastAsia="仿宋_GB2312" w:cs="仿宋"/>
          <w:sz w:val="32"/>
          <w:szCs w:val="32"/>
        </w:rPr>
      </w:pPr>
      <w:r>
        <w:rPr>
          <w:rFonts w:hint="eastAsia" w:ascii="仿宋_GB2312" w:eastAsia="仿宋_GB2312" w:cs="仿宋"/>
          <w:b/>
          <w:sz w:val="32"/>
          <w:szCs w:val="32"/>
        </w:rPr>
        <w:t>第十四条</w:t>
      </w:r>
      <w:r>
        <w:rPr>
          <w:rFonts w:hint="eastAsia" w:ascii="仿宋_GB2312" w:eastAsia="仿宋_GB2312" w:cs="仿宋"/>
          <w:sz w:val="32"/>
          <w:szCs w:val="32"/>
        </w:rPr>
        <w:t xml:space="preserve"> 本办法由财务处负责解释。</w:t>
      </w:r>
    </w:p>
    <w:p>
      <w:pPr>
        <w:spacing w:line="560" w:lineRule="exact"/>
        <w:ind w:firstLine="643" w:firstLineChars="200"/>
        <w:rPr>
          <w:rFonts w:ascii="仿宋_GB2312" w:eastAsia="仿宋_GB2312" w:cs="仿宋"/>
          <w:sz w:val="32"/>
          <w:szCs w:val="32"/>
        </w:rPr>
      </w:pPr>
      <w:r>
        <w:rPr>
          <w:rFonts w:hint="eastAsia" w:ascii="仿宋_GB2312" w:eastAsia="仿宋_GB2312" w:cs="仿宋"/>
          <w:b/>
          <w:sz w:val="32"/>
          <w:szCs w:val="32"/>
        </w:rPr>
        <w:t>第十五条</w:t>
      </w:r>
      <w:r>
        <w:rPr>
          <w:rFonts w:hint="eastAsia" w:ascii="仿宋_GB2312" w:eastAsia="仿宋_GB2312" w:cs="仿宋"/>
          <w:sz w:val="32"/>
          <w:szCs w:val="32"/>
        </w:rPr>
        <w:t xml:space="preserve"> 本办法自印发之日起施行。</w:t>
      </w:r>
    </w:p>
    <w:p>
      <w:pPr>
        <w:autoSpaceDE w:val="0"/>
        <w:autoSpaceDN w:val="0"/>
        <w:adjustRightInd w:val="0"/>
        <w:spacing w:line="560" w:lineRule="exact"/>
        <w:ind w:firstLine="640" w:firstLineChars="200"/>
        <w:rPr>
          <w:rFonts w:ascii="仿宋_GB2312" w:eastAsia="仿宋_GB2312" w:cs="仿宋_GB2312"/>
          <w:sz w:val="32"/>
          <w:szCs w:val="32"/>
        </w:rPr>
      </w:pPr>
    </w:p>
    <w:p>
      <w:pPr>
        <w:autoSpaceDE w:val="0"/>
        <w:autoSpaceDN w:val="0"/>
        <w:adjustRightInd w:val="0"/>
        <w:spacing w:line="560" w:lineRule="exact"/>
        <w:ind w:left="1895" w:leftChars="304" w:hanging="1257" w:hangingChars="393"/>
        <w:rPr>
          <w:rFonts w:ascii="仿宋_GB2312" w:eastAsia="仿宋_GB2312" w:cs="仿宋_GB2312"/>
          <w:sz w:val="32"/>
          <w:szCs w:val="32"/>
        </w:rPr>
      </w:pPr>
      <w:r>
        <w:rPr>
          <w:rFonts w:hint="eastAsia" w:ascii="仿宋_GB2312" w:eastAsia="仿宋_GB2312" w:cs="仿宋_GB2312"/>
          <w:sz w:val="32"/>
          <w:szCs w:val="32"/>
        </w:rPr>
        <w:t>附件1：项目支出绩效自评表（市财政局下发模板）</w:t>
      </w:r>
    </w:p>
    <w:p>
      <w:pPr>
        <w:autoSpaceDE w:val="0"/>
        <w:autoSpaceDN w:val="0"/>
        <w:adjustRightIn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附件2：项目支出绩效评价报告（市财政局下发模板）</w:t>
      </w:r>
    </w:p>
    <w:p>
      <w:pPr>
        <w:spacing w:line="560" w:lineRule="exact"/>
        <w:jc w:val="both"/>
        <w:rPr>
          <w:rFonts w:eastAsia="仿宋_GB2312" w:cs="仿宋"/>
          <w:sz w:val="28"/>
          <w:szCs w:val="28"/>
        </w:rPr>
      </w:pPr>
    </w:p>
    <w:p>
      <w:pPr>
        <w:spacing w:line="560" w:lineRule="exact"/>
        <w:jc w:val="both"/>
        <w:rPr>
          <w:rFonts w:eastAsia="仿宋_GB2312" w:cs="仿宋"/>
          <w:sz w:val="28"/>
          <w:szCs w:val="28"/>
        </w:rPr>
      </w:pPr>
    </w:p>
    <w:p>
      <w:pPr>
        <w:spacing w:line="560" w:lineRule="exact"/>
        <w:jc w:val="both"/>
        <w:rPr>
          <w:rFonts w:eastAsia="仿宋_GB2312" w:cs="仿宋"/>
          <w:sz w:val="28"/>
          <w:szCs w:val="28"/>
        </w:rPr>
      </w:pPr>
    </w:p>
    <w:p>
      <w:pPr>
        <w:spacing w:line="560" w:lineRule="exact"/>
        <w:jc w:val="both"/>
        <w:rPr>
          <w:rFonts w:eastAsia="仿宋_GB2312" w:cs="仿宋"/>
          <w:sz w:val="28"/>
          <w:szCs w:val="28"/>
        </w:rPr>
      </w:pPr>
    </w:p>
    <w:p>
      <w:pPr>
        <w:spacing w:line="560" w:lineRule="exact"/>
        <w:jc w:val="both"/>
        <w:rPr>
          <w:rFonts w:eastAsia="仿宋_GB2312" w:cs="仿宋"/>
          <w:sz w:val="28"/>
          <w:szCs w:val="28"/>
        </w:rPr>
      </w:pPr>
    </w:p>
    <w:p>
      <w:pPr>
        <w:spacing w:line="560" w:lineRule="exact"/>
        <w:jc w:val="both"/>
        <w:rPr>
          <w:rFonts w:eastAsia="仿宋_GB2312" w:cs="仿宋"/>
          <w:sz w:val="28"/>
          <w:szCs w:val="28"/>
        </w:rPr>
      </w:pPr>
    </w:p>
    <w:p>
      <w:pPr>
        <w:spacing w:line="560" w:lineRule="exact"/>
        <w:jc w:val="both"/>
        <w:rPr>
          <w:rFonts w:eastAsia="仿宋_GB2312" w:cs="仿宋"/>
          <w:sz w:val="28"/>
          <w:szCs w:val="28"/>
        </w:rPr>
      </w:pPr>
    </w:p>
    <w:p>
      <w:pPr>
        <w:spacing w:line="560" w:lineRule="exact"/>
        <w:jc w:val="both"/>
        <w:rPr>
          <w:rFonts w:eastAsia="仿宋_GB2312" w:cs="仿宋"/>
          <w:sz w:val="28"/>
          <w:szCs w:val="28"/>
        </w:rPr>
      </w:pPr>
    </w:p>
    <w:p>
      <w:pPr>
        <w:spacing w:line="560" w:lineRule="exact"/>
        <w:jc w:val="both"/>
        <w:rPr>
          <w:rFonts w:eastAsia="仿宋_GB2312" w:cs="仿宋"/>
          <w:sz w:val="28"/>
          <w:szCs w:val="28"/>
        </w:rPr>
      </w:pPr>
    </w:p>
    <w:p>
      <w:pPr>
        <w:spacing w:line="560" w:lineRule="exact"/>
        <w:jc w:val="both"/>
        <w:rPr>
          <w:rFonts w:eastAsia="仿宋_GB2312" w:cs="仿宋"/>
          <w:sz w:val="28"/>
          <w:szCs w:val="28"/>
        </w:rPr>
      </w:pPr>
    </w:p>
    <w:p>
      <w:pPr>
        <w:spacing w:line="300" w:lineRule="exact"/>
        <w:rPr>
          <w:rFonts w:hint="eastAsia" w:ascii="Times Roman" w:hAnsi="Times Roman" w:eastAsia="黑体"/>
          <w:sz w:val="32"/>
          <w:szCs w:val="32"/>
        </w:rPr>
      </w:pPr>
    </w:p>
    <w:p>
      <w:pPr>
        <w:spacing w:line="300" w:lineRule="exact"/>
        <w:rPr>
          <w:rFonts w:hint="eastAsia" w:ascii="Times Roman" w:hAnsi="Times Roman" w:eastAsia="黑体"/>
          <w:sz w:val="32"/>
          <w:szCs w:val="32"/>
          <w:lang w:eastAsia="zh-CN"/>
        </w:rPr>
      </w:pPr>
      <w:r>
        <w:rPr>
          <w:rFonts w:hint="eastAsia" w:ascii="Times Roman" w:hAnsi="Times Roman" w:eastAsia="黑体"/>
          <w:sz w:val="32"/>
          <w:szCs w:val="32"/>
        </w:rPr>
        <w:t>附</w:t>
      </w:r>
      <w:r>
        <w:rPr>
          <w:rFonts w:hint="eastAsia" w:ascii="Times Roman" w:hAnsi="Times Roman" w:eastAsia="黑体"/>
          <w:sz w:val="32"/>
          <w:szCs w:val="32"/>
          <w:lang w:eastAsia="zh-CN"/>
        </w:rPr>
        <w:t>件</w:t>
      </w:r>
      <w:r>
        <w:rPr>
          <w:rFonts w:hint="eastAsia" w:ascii="Times Roman" w:hAnsi="Times Roman" w:eastAsia="黑体"/>
          <w:sz w:val="32"/>
          <w:szCs w:val="32"/>
          <w:lang w:val="en-US" w:eastAsia="zh-CN"/>
        </w:rPr>
        <w:t>1</w:t>
      </w:r>
    </w:p>
    <w:tbl>
      <w:tblPr>
        <w:tblStyle w:val="8"/>
        <w:tblW w:w="9080" w:type="dxa"/>
        <w:jc w:val="center"/>
        <w:tblLayout w:type="fixed"/>
        <w:tblCellMar>
          <w:top w:w="0" w:type="dxa"/>
          <w:left w:w="108" w:type="dxa"/>
          <w:bottom w:w="0" w:type="dxa"/>
          <w:right w:w="108" w:type="dxa"/>
        </w:tblCellMar>
      </w:tblPr>
      <w:tblGrid>
        <w:gridCol w:w="588"/>
        <w:gridCol w:w="980"/>
        <w:gridCol w:w="1300"/>
        <w:gridCol w:w="542"/>
        <w:gridCol w:w="1134"/>
        <w:gridCol w:w="284"/>
        <w:gridCol w:w="850"/>
        <w:gridCol w:w="851"/>
        <w:gridCol w:w="283"/>
        <w:gridCol w:w="284"/>
        <w:gridCol w:w="425"/>
        <w:gridCol w:w="252"/>
        <w:gridCol w:w="59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Times Roman" w:hAnsi="Times Roman" w:eastAsia="宋体" w:cs="宋体"/>
                <w:b/>
                <w:bCs/>
                <w:kern w:val="0"/>
                <w:sz w:val="32"/>
                <w:szCs w:val="32"/>
              </w:rPr>
            </w:pPr>
            <w:r>
              <w:rPr>
                <w:rFonts w:hint="eastAsia" w:ascii="方正小标宋简体" w:hAnsi="方正小标宋简体" w:eastAsia="方正小标宋简体" w:cs="方正小标宋简体"/>
                <w:b w:val="0"/>
                <w:bCs w:val="0"/>
                <w:kern w:val="0"/>
                <w:sz w:val="32"/>
                <w:szCs w:val="32"/>
                <w:lang w:val="en-US" w:eastAsia="zh-CN"/>
              </w:rPr>
              <w:t>XX</w:t>
            </w:r>
            <w:r>
              <w:rPr>
                <w:rFonts w:hint="eastAsia" w:ascii="方正小标宋简体" w:hAnsi="方正小标宋简体" w:eastAsia="方正小标宋简体" w:cs="方正小标宋简体"/>
                <w:b w:val="0"/>
                <w:bCs w:val="0"/>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tcPr>
          <w:p>
            <w:pPr>
              <w:widowControl/>
              <w:jc w:val="center"/>
              <w:rPr>
                <w:rFonts w:ascii="Times Roman" w:hAnsi="Times Roman" w:eastAsia="宋体" w:cs="宋体"/>
                <w:kern w:val="0"/>
                <w:sz w:val="22"/>
                <w:szCs w:val="22"/>
              </w:rPr>
            </w:pPr>
            <w:r>
              <w:rPr>
                <w:rFonts w:hint="eastAsia" w:ascii="Times Roman" w:hAnsi="Times Roman" w:eastAsia="宋体" w:cs="宋体"/>
                <w:kern w:val="0"/>
                <w:sz w:val="22"/>
                <w:szCs w:val="22"/>
              </w:rPr>
              <w:t>（</w:t>
            </w:r>
            <w:r>
              <w:rPr>
                <w:rFonts w:hint="eastAsia" w:ascii="Times Roman" w:hAnsi="Times Roman" w:eastAsia="宋体" w:cs="宋体"/>
                <w:kern w:val="0"/>
                <w:sz w:val="22"/>
                <w:szCs w:val="22"/>
                <w:lang w:val="en-US" w:eastAsia="zh-CN"/>
              </w:rPr>
              <w:t xml:space="preserve">    </w:t>
            </w:r>
            <w:r>
              <w:rPr>
                <w:rFonts w:hint="eastAsia" w:ascii="Times Roman" w:hAnsi="Times Roman" w:eastAsia="宋体" w:cs="宋体"/>
                <w:kern w:val="0"/>
                <w:sz w:val="22"/>
                <w:szCs w:val="22"/>
              </w:rPr>
              <w:t>年度）</w:t>
            </w:r>
          </w:p>
        </w:tc>
      </w:tr>
      <w:tr>
        <w:tblPrEx>
          <w:tblCellMar>
            <w:top w:w="0" w:type="dxa"/>
            <w:left w:w="108" w:type="dxa"/>
            <w:bottom w:w="0" w:type="dxa"/>
            <w:right w:w="108" w:type="dxa"/>
          </w:tblCellMar>
        </w:tblPrEx>
        <w:trPr>
          <w:trHeight w:val="454"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r>
      <w:tr>
        <w:tblPrEx>
          <w:tblCellMar>
            <w:top w:w="0" w:type="dxa"/>
            <w:left w:w="108" w:type="dxa"/>
            <w:bottom w:w="0" w:type="dxa"/>
            <w:right w:w="108" w:type="dxa"/>
          </w:tblCellMar>
        </w:tblPrEx>
        <w:trPr>
          <w:trHeight w:val="454"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承德市财政局</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承德应用技术职业学院</w:t>
            </w:r>
          </w:p>
        </w:tc>
      </w:tr>
      <w:tr>
        <w:tblPrEx>
          <w:tblCellMar>
            <w:top w:w="0" w:type="dxa"/>
            <w:left w:w="108" w:type="dxa"/>
            <w:bottom w:w="0" w:type="dxa"/>
            <w:right w:w="108" w:type="dxa"/>
          </w:tblCellMar>
        </w:tblPrEx>
        <w:trPr>
          <w:trHeight w:val="454"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Roman" w:hAnsi="Times Roman" w:eastAsia="宋体" w:cs="宋体"/>
                <w:kern w:val="0"/>
                <w:sz w:val="18"/>
                <w:szCs w:val="18"/>
                <w:lang w:eastAsia="zh-CN"/>
              </w:rPr>
            </w:pPr>
            <w:r>
              <w:rPr>
                <w:rFonts w:hint="eastAsia" w:ascii="Times Roman" w:hAnsi="Times Roman" w:eastAsia="宋体" w:cs="宋体"/>
                <w:kern w:val="0"/>
                <w:sz w:val="18"/>
                <w:szCs w:val="18"/>
              </w:rPr>
              <w:t>项目资金</w:t>
            </w:r>
          </w:p>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得分</w:t>
            </w:r>
          </w:p>
        </w:tc>
      </w:tr>
      <w:tr>
        <w:tblPrEx>
          <w:tblCellMar>
            <w:top w:w="0" w:type="dxa"/>
            <w:left w:w="108" w:type="dxa"/>
            <w:bottom w:w="0" w:type="dxa"/>
            <w:right w:w="108" w:type="dxa"/>
          </w:tblCellMar>
        </w:tblPrEx>
        <w:trPr>
          <w:trHeight w:val="454"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Times Roman" w:hAnsi="Times Roman" w:eastAsia="宋体" w:cs="宋体"/>
                <w:kern w:val="0"/>
                <w:sz w:val="18"/>
                <w:szCs w:val="18"/>
              </w:rPr>
            </w:pPr>
            <w:r>
              <w:rPr>
                <w:rFonts w:hint="eastAsia" w:ascii="Times Roman" w:hAnsi="Times Roman"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134" w:type="dxa"/>
            <w:gridSpan w:val="2"/>
            <w:tcBorders>
              <w:top w:val="nil"/>
              <w:left w:val="nil"/>
              <w:bottom w:val="single" w:color="auto" w:sz="4" w:space="0"/>
              <w:right w:val="single" w:color="auto" w:sz="4" w:space="0"/>
            </w:tcBorders>
          </w:tcPr>
          <w:p>
            <w:pPr>
              <w:widowControl/>
              <w:spacing w:line="240" w:lineRule="exact"/>
              <w:jc w:val="center"/>
              <w:rPr>
                <w:rFonts w:ascii="Times Roman" w:hAnsi="Times Roman" w:eastAsia="宋体" w:cs="宋体"/>
                <w:kern w:val="0"/>
                <w:sz w:val="18"/>
                <w:szCs w:val="18"/>
              </w:rPr>
            </w:pPr>
          </w:p>
        </w:tc>
        <w:tc>
          <w:tcPr>
            <w:tcW w:w="1134" w:type="dxa"/>
            <w:gridSpan w:val="2"/>
            <w:tcBorders>
              <w:top w:val="nil"/>
              <w:left w:val="nil"/>
              <w:bottom w:val="single" w:color="auto" w:sz="4" w:space="0"/>
              <w:right w:val="single" w:color="auto" w:sz="4" w:space="0"/>
            </w:tcBorders>
          </w:tcPr>
          <w:p>
            <w:pPr>
              <w:widowControl/>
              <w:spacing w:line="240" w:lineRule="exact"/>
              <w:jc w:val="center"/>
              <w:rPr>
                <w:rFonts w:ascii="Times Roman" w:hAnsi="Times Roman"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ascii="Times Roman" w:hAnsi="Times Roman"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r>
      <w:tr>
        <w:tblPrEx>
          <w:tblCellMar>
            <w:top w:w="0" w:type="dxa"/>
            <w:left w:w="108" w:type="dxa"/>
            <w:bottom w:w="0" w:type="dxa"/>
            <w:right w:w="108" w:type="dxa"/>
          </w:tblCellMar>
        </w:tblPrEx>
        <w:trPr>
          <w:trHeight w:val="454"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其中：当年财政拨款</w:t>
            </w:r>
          </w:p>
        </w:tc>
        <w:tc>
          <w:tcPr>
            <w:tcW w:w="1134" w:type="dxa"/>
            <w:tcBorders>
              <w:top w:val="nil"/>
              <w:left w:val="nil"/>
              <w:bottom w:val="single" w:color="auto" w:sz="4" w:space="0"/>
              <w:right w:val="single" w:color="auto" w:sz="4" w:space="0"/>
            </w:tcBorders>
          </w:tcPr>
          <w:p/>
        </w:tc>
        <w:tc>
          <w:tcPr>
            <w:tcW w:w="1134" w:type="dxa"/>
            <w:gridSpan w:val="2"/>
            <w:tcBorders>
              <w:top w:val="nil"/>
              <w:left w:val="nil"/>
              <w:bottom w:val="single" w:color="auto" w:sz="4" w:space="0"/>
              <w:right w:val="single" w:color="auto" w:sz="4" w:space="0"/>
            </w:tcBorders>
          </w:tcPr>
          <w:p>
            <w:pPr>
              <w:jc w:val="center"/>
            </w:pPr>
          </w:p>
        </w:tc>
        <w:tc>
          <w:tcPr>
            <w:tcW w:w="1134" w:type="dxa"/>
            <w:gridSpan w:val="2"/>
            <w:tcBorders>
              <w:top w:val="nil"/>
              <w:left w:val="nil"/>
              <w:bottom w:val="single" w:color="auto" w:sz="4" w:space="0"/>
              <w:right w:val="single" w:color="auto" w:sz="4" w:space="0"/>
            </w:tcBorders>
          </w:tcPr>
          <w:p>
            <w:pPr>
              <w:jc w:val="cente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ascii="Times Roman" w:hAnsi="Times Roman"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ascii="Times Roman" w:hAnsi="Times Roman" w:eastAsia="宋体" w:cs="宋体"/>
                <w:kern w:val="0"/>
                <w:sz w:val="18"/>
                <w:szCs w:val="18"/>
              </w:rPr>
              <w:t>—</w:t>
            </w:r>
          </w:p>
        </w:tc>
      </w:tr>
      <w:tr>
        <w:tblPrEx>
          <w:tblCellMar>
            <w:top w:w="0" w:type="dxa"/>
            <w:left w:w="108" w:type="dxa"/>
            <w:bottom w:w="0" w:type="dxa"/>
            <w:right w:w="108" w:type="dxa"/>
          </w:tblCellMar>
        </w:tblPrEx>
        <w:trPr>
          <w:trHeight w:val="454"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ascii="Times Roman" w:hAnsi="Times Roman"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ascii="Times Roman" w:hAnsi="Times Roman" w:eastAsia="宋体" w:cs="宋体"/>
                <w:kern w:val="0"/>
                <w:sz w:val="18"/>
                <w:szCs w:val="18"/>
              </w:rPr>
              <w:t>—</w:t>
            </w:r>
          </w:p>
        </w:tc>
      </w:tr>
      <w:tr>
        <w:tblPrEx>
          <w:tblCellMar>
            <w:top w:w="0" w:type="dxa"/>
            <w:left w:w="108" w:type="dxa"/>
            <w:bottom w:w="0" w:type="dxa"/>
            <w:right w:w="108" w:type="dxa"/>
          </w:tblCellMar>
        </w:tblPrEx>
        <w:trPr>
          <w:trHeight w:val="454"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ascii="Times Roman" w:hAnsi="Times Roman"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ascii="Times Roman" w:hAnsi="Times Roman"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实际完成情况</w:t>
            </w:r>
          </w:p>
        </w:tc>
      </w:tr>
      <w:tr>
        <w:tblPrEx>
          <w:tblCellMar>
            <w:top w:w="0" w:type="dxa"/>
            <w:left w:w="108" w:type="dxa"/>
            <w:bottom w:w="0" w:type="dxa"/>
            <w:right w:w="108" w:type="dxa"/>
          </w:tblCellMar>
        </w:tblPrEx>
        <w:trPr>
          <w:trHeight w:val="841"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Roman" w:hAnsi="Times Roman" w:eastAsia="宋体" w:cs="宋体"/>
                <w:kern w:val="0"/>
                <w:sz w:val="18"/>
                <w:szCs w:val="18"/>
              </w:rPr>
            </w:pP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hint="eastAsia" w:ascii="Times Roman" w:hAnsi="Times Roman" w:eastAsia="宋体" w:cs="宋体"/>
                <w:kern w:val="0"/>
                <w:sz w:val="18"/>
                <w:szCs w:val="18"/>
                <w:lang w:eastAsia="zh-CN"/>
              </w:rPr>
            </w:pPr>
            <w:r>
              <w:rPr>
                <w:rFonts w:hint="eastAsia" w:ascii="Times Roman" w:hAnsi="Times Roman" w:eastAsia="宋体" w:cs="宋体"/>
                <w:kern w:val="0"/>
                <w:sz w:val="18"/>
                <w:szCs w:val="18"/>
              </w:rPr>
              <w:t>绩</w:t>
            </w:r>
          </w:p>
          <w:p>
            <w:pPr>
              <w:widowControl/>
              <w:spacing w:line="240" w:lineRule="exact"/>
              <w:jc w:val="center"/>
              <w:rPr>
                <w:rFonts w:hint="eastAsia" w:ascii="Times Roman" w:hAnsi="Times Roman" w:eastAsia="宋体" w:cs="宋体"/>
                <w:kern w:val="0"/>
                <w:sz w:val="18"/>
                <w:szCs w:val="18"/>
                <w:lang w:eastAsia="zh-CN"/>
              </w:rPr>
            </w:pPr>
            <w:r>
              <w:rPr>
                <w:rFonts w:hint="eastAsia" w:ascii="Times Roman" w:hAnsi="Times Roman" w:eastAsia="宋体" w:cs="宋体"/>
                <w:kern w:val="0"/>
                <w:sz w:val="18"/>
                <w:szCs w:val="18"/>
              </w:rPr>
              <w:t>效</w:t>
            </w:r>
          </w:p>
          <w:p>
            <w:pPr>
              <w:widowControl/>
              <w:spacing w:line="240" w:lineRule="exact"/>
              <w:jc w:val="center"/>
              <w:rPr>
                <w:rFonts w:hint="eastAsia" w:ascii="Times Roman" w:hAnsi="Times Roman" w:eastAsia="宋体" w:cs="宋体"/>
                <w:kern w:val="0"/>
                <w:sz w:val="18"/>
                <w:szCs w:val="18"/>
                <w:lang w:eastAsia="zh-CN"/>
              </w:rPr>
            </w:pPr>
            <w:r>
              <w:rPr>
                <w:rFonts w:hint="eastAsia" w:ascii="Times Roman" w:hAnsi="Times Roman" w:eastAsia="宋体" w:cs="宋体"/>
                <w:kern w:val="0"/>
                <w:sz w:val="18"/>
                <w:szCs w:val="18"/>
              </w:rPr>
              <w:t>指</w:t>
            </w:r>
          </w:p>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一级指标</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二级指标</w:t>
            </w:r>
          </w:p>
        </w:tc>
        <w:tc>
          <w:tcPr>
            <w:tcW w:w="196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年度</w:t>
            </w:r>
          </w:p>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实际</w:t>
            </w:r>
          </w:p>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分值</w:t>
            </w:r>
          </w:p>
        </w:tc>
        <w:tc>
          <w:tcPr>
            <w:tcW w:w="677"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得分</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偏差原因分析及改进措施</w:t>
            </w:r>
          </w:p>
        </w:tc>
      </w:tr>
      <w:tr>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产出指标</w:t>
            </w:r>
          </w:p>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50分</w:t>
            </w:r>
          </w:p>
        </w:tc>
        <w:tc>
          <w:tcPr>
            <w:tcW w:w="1300" w:type="dxa"/>
            <w:tcBorders>
              <w:top w:val="nil"/>
              <w:left w:val="single" w:color="auto" w:sz="4" w:space="0"/>
              <w:bottom w:val="single" w:color="auto" w:sz="4" w:space="0"/>
              <w:right w:val="single" w:color="auto" w:sz="4" w:space="0"/>
            </w:tcBorders>
            <w:vAlign w:val="center"/>
          </w:tcPr>
          <w:p>
            <w:pPr>
              <w:widowControl/>
              <w:spacing w:line="240" w:lineRule="exact"/>
              <w:rPr>
                <w:rFonts w:ascii="Times Roman" w:hAnsi="Times Roman" w:eastAsia="宋体" w:cs="宋体"/>
                <w:kern w:val="0"/>
                <w:sz w:val="18"/>
                <w:szCs w:val="18"/>
              </w:rPr>
            </w:pPr>
            <w:r>
              <w:rPr>
                <w:rFonts w:hint="eastAsia" w:ascii="Times Roman" w:hAnsi="Times Roman" w:eastAsia="宋体" w:cs="宋体"/>
                <w:kern w:val="0"/>
                <w:sz w:val="18"/>
                <w:szCs w:val="18"/>
              </w:rPr>
              <w:t>成本指标</w:t>
            </w:r>
          </w:p>
        </w:tc>
        <w:tc>
          <w:tcPr>
            <w:tcW w:w="1960"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ascii="Times Roman" w:hAnsi="Times Roman" w:eastAsia="宋体" w:cs="宋体"/>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40" w:lineRule="exact"/>
              <w:rPr>
                <w:rFonts w:ascii="Times Roman" w:hAnsi="Times Roman" w:eastAsia="宋体"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677"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r>
      <w:tr>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300" w:type="dxa"/>
            <w:tcBorders>
              <w:top w:val="nil"/>
              <w:left w:val="single" w:color="auto" w:sz="4" w:space="0"/>
              <w:bottom w:val="single" w:color="auto" w:sz="4" w:space="0"/>
              <w:right w:val="single" w:color="auto" w:sz="4" w:space="0"/>
            </w:tcBorders>
            <w:vAlign w:val="center"/>
          </w:tcPr>
          <w:p>
            <w:pPr>
              <w:widowControl/>
              <w:spacing w:line="240" w:lineRule="exact"/>
              <w:rPr>
                <w:rFonts w:ascii="Times Roman" w:hAnsi="Times Roman" w:eastAsia="宋体" w:cs="宋体"/>
                <w:kern w:val="0"/>
                <w:sz w:val="18"/>
                <w:szCs w:val="18"/>
              </w:rPr>
            </w:pPr>
            <w:r>
              <w:rPr>
                <w:rFonts w:hint="eastAsia" w:ascii="Times Roman" w:hAnsi="Times Roman" w:eastAsia="宋体" w:cs="宋体"/>
                <w:kern w:val="0"/>
                <w:sz w:val="18"/>
                <w:szCs w:val="18"/>
              </w:rPr>
              <w:t>数量指标</w:t>
            </w:r>
          </w:p>
        </w:tc>
        <w:tc>
          <w:tcPr>
            <w:tcW w:w="1960"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ascii="Times Roman" w:hAnsi="Times Roman" w:eastAsia="宋体" w:cs="宋体"/>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40" w:lineRule="exact"/>
              <w:rPr>
                <w:rFonts w:ascii="Times Roman" w:hAnsi="Times Roman" w:eastAsia="宋体"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677"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r>
      <w:tr>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300" w:type="dxa"/>
            <w:tcBorders>
              <w:top w:val="nil"/>
              <w:left w:val="single" w:color="auto" w:sz="4" w:space="0"/>
              <w:bottom w:val="single" w:color="auto" w:sz="4" w:space="0"/>
              <w:right w:val="single" w:color="auto" w:sz="4" w:space="0"/>
            </w:tcBorders>
            <w:vAlign w:val="center"/>
          </w:tcPr>
          <w:p>
            <w:pPr>
              <w:widowControl/>
              <w:spacing w:line="240" w:lineRule="exact"/>
              <w:rPr>
                <w:rFonts w:ascii="Times Roman" w:hAnsi="Times Roman" w:eastAsia="宋体" w:cs="宋体"/>
                <w:kern w:val="0"/>
                <w:sz w:val="18"/>
                <w:szCs w:val="18"/>
              </w:rPr>
            </w:pPr>
            <w:r>
              <w:rPr>
                <w:rFonts w:hint="eastAsia" w:ascii="Times Roman" w:hAnsi="Times Roman" w:eastAsia="宋体" w:cs="宋体"/>
                <w:kern w:val="0"/>
                <w:sz w:val="18"/>
                <w:szCs w:val="18"/>
              </w:rPr>
              <w:t>质量指标</w:t>
            </w:r>
          </w:p>
        </w:tc>
        <w:tc>
          <w:tcPr>
            <w:tcW w:w="1960"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ascii="Times Roman" w:hAnsi="Times Roman" w:eastAsia="宋体" w:cs="宋体"/>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40" w:lineRule="exact"/>
              <w:rPr>
                <w:rFonts w:ascii="Times Roman" w:hAnsi="Times Roman" w:eastAsia="宋体"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677"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r>
      <w:tr>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300" w:type="dxa"/>
            <w:tcBorders>
              <w:top w:val="nil"/>
              <w:left w:val="single" w:color="auto" w:sz="4" w:space="0"/>
              <w:bottom w:val="single" w:color="auto" w:sz="4" w:space="0"/>
              <w:right w:val="single" w:color="auto" w:sz="4" w:space="0"/>
            </w:tcBorders>
          </w:tcPr>
          <w:p>
            <w:pPr>
              <w:widowControl/>
              <w:spacing w:line="240" w:lineRule="exact"/>
              <w:jc w:val="both"/>
              <w:rPr>
                <w:rFonts w:ascii="Times Roman" w:hAnsi="Times Roman" w:eastAsia="宋体" w:cs="宋体"/>
                <w:kern w:val="0"/>
                <w:sz w:val="18"/>
                <w:szCs w:val="18"/>
              </w:rPr>
            </w:pPr>
            <w:r>
              <w:rPr>
                <w:rFonts w:hint="eastAsia" w:ascii="Times Roman" w:hAnsi="Times Roman" w:eastAsia="宋体" w:cs="宋体"/>
                <w:kern w:val="0"/>
                <w:sz w:val="18"/>
                <w:szCs w:val="18"/>
              </w:rPr>
              <w:t>时效指标</w:t>
            </w:r>
          </w:p>
        </w:tc>
        <w:tc>
          <w:tcPr>
            <w:tcW w:w="1960" w:type="dxa"/>
            <w:gridSpan w:val="3"/>
            <w:tcBorders>
              <w:top w:val="single" w:color="auto" w:sz="4" w:space="0"/>
              <w:left w:val="nil"/>
              <w:bottom w:val="single" w:color="auto" w:sz="4" w:space="0"/>
              <w:right w:val="single" w:color="auto" w:sz="4" w:space="0"/>
            </w:tcBorders>
          </w:tcPr>
          <w:p>
            <w:pPr>
              <w:widowControl/>
              <w:spacing w:line="240" w:lineRule="exact"/>
              <w:jc w:val="center"/>
              <w:rPr>
                <w:rFonts w:ascii="Times Roman" w:hAnsi="Times Roman" w:eastAsia="宋体" w:cs="宋体"/>
                <w:kern w:val="0"/>
                <w:sz w:val="18"/>
                <w:szCs w:val="18"/>
              </w:rPr>
            </w:pPr>
          </w:p>
        </w:tc>
        <w:tc>
          <w:tcPr>
            <w:tcW w:w="850" w:type="dxa"/>
            <w:tcBorders>
              <w:top w:val="nil"/>
              <w:left w:val="nil"/>
              <w:bottom w:val="single" w:color="auto" w:sz="4" w:space="0"/>
              <w:right w:val="single" w:color="auto" w:sz="4" w:space="0"/>
            </w:tcBorders>
          </w:tcPr>
          <w:p>
            <w:pPr>
              <w:widowControl/>
              <w:spacing w:line="240" w:lineRule="exact"/>
              <w:jc w:val="center"/>
              <w:rPr>
                <w:rFonts w:ascii="Times Roman" w:hAnsi="Times Roman" w:eastAsia="宋体"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677"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r>
      <w:tr>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980" w:type="dxa"/>
            <w:vMerge w:val="restart"/>
            <w:tcBorders>
              <w:top w:val="nil"/>
              <w:left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效益指标30分</w:t>
            </w:r>
          </w:p>
        </w:tc>
        <w:tc>
          <w:tcPr>
            <w:tcW w:w="1300" w:type="dxa"/>
            <w:tcBorders>
              <w:top w:val="nil"/>
              <w:left w:val="single" w:color="auto" w:sz="4" w:space="0"/>
              <w:bottom w:val="single" w:color="auto" w:sz="4" w:space="0"/>
              <w:right w:val="single" w:color="auto" w:sz="4" w:space="0"/>
            </w:tcBorders>
            <w:vAlign w:val="center"/>
          </w:tcPr>
          <w:p>
            <w:pPr>
              <w:widowControl/>
              <w:spacing w:line="240" w:lineRule="exact"/>
              <w:jc w:val="both"/>
              <w:rPr>
                <w:rFonts w:ascii="Times Roman" w:hAnsi="Times Roman" w:eastAsia="宋体" w:cs="宋体"/>
                <w:kern w:val="0"/>
                <w:sz w:val="18"/>
                <w:szCs w:val="18"/>
              </w:rPr>
            </w:pPr>
            <w:r>
              <w:rPr>
                <w:rFonts w:hint="eastAsia" w:ascii="Times Roman" w:hAnsi="Times Roman" w:eastAsia="宋体" w:cs="宋体"/>
                <w:kern w:val="0"/>
                <w:sz w:val="18"/>
                <w:szCs w:val="18"/>
              </w:rPr>
              <w:t>社会效益指标</w:t>
            </w:r>
          </w:p>
        </w:tc>
        <w:tc>
          <w:tcPr>
            <w:tcW w:w="196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Roman" w:hAnsi="Times Roman" w:eastAsia="宋体" w:cs="宋体"/>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677"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r>
      <w:tr>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Times Roman" w:hAnsi="Times Roman" w:eastAsia="宋体" w:cs="宋体"/>
                <w:kern w:val="0"/>
                <w:sz w:val="18"/>
                <w:szCs w:val="18"/>
              </w:rPr>
            </w:pPr>
          </w:p>
        </w:tc>
        <w:tc>
          <w:tcPr>
            <w:tcW w:w="13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Roman" w:hAnsi="Times Roman" w:eastAsia="宋体" w:cs="宋体"/>
                <w:kern w:val="0"/>
                <w:sz w:val="18"/>
                <w:szCs w:val="18"/>
              </w:rPr>
            </w:pPr>
            <w:r>
              <w:rPr>
                <w:rFonts w:hint="eastAsia" w:ascii="Times Roman" w:hAnsi="Times Roman" w:eastAsia="宋体" w:cs="宋体"/>
                <w:kern w:val="0"/>
                <w:sz w:val="18"/>
                <w:szCs w:val="18"/>
              </w:rPr>
              <w:t>经济效益指标</w:t>
            </w:r>
          </w:p>
        </w:tc>
        <w:tc>
          <w:tcPr>
            <w:tcW w:w="196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Roman" w:hAnsi="Times Roman" w:eastAsia="宋体" w:cs="宋体"/>
                <w:kern w:val="0"/>
                <w:sz w:val="18"/>
                <w:szCs w:val="18"/>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67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r>
      <w:tr>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Times Roman" w:hAnsi="Times Roman" w:eastAsia="宋体" w:cs="宋体"/>
                <w:kern w:val="0"/>
                <w:sz w:val="18"/>
                <w:szCs w:val="18"/>
              </w:rPr>
            </w:pPr>
          </w:p>
        </w:tc>
        <w:tc>
          <w:tcPr>
            <w:tcW w:w="13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Roman" w:hAnsi="Times Roman" w:eastAsia="宋体" w:cs="宋体"/>
                <w:kern w:val="0"/>
                <w:sz w:val="18"/>
                <w:szCs w:val="18"/>
              </w:rPr>
            </w:pPr>
            <w:r>
              <w:rPr>
                <w:rFonts w:hint="eastAsia" w:ascii="Times Roman" w:hAnsi="Times Roman" w:eastAsia="宋体" w:cs="宋体"/>
                <w:kern w:val="0"/>
                <w:sz w:val="18"/>
                <w:szCs w:val="18"/>
              </w:rPr>
              <w:t>社会效益指标</w:t>
            </w:r>
          </w:p>
        </w:tc>
        <w:tc>
          <w:tcPr>
            <w:tcW w:w="196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Roman" w:hAnsi="Times Roman" w:eastAsia="宋体" w:cs="宋体"/>
                <w:kern w:val="0"/>
                <w:sz w:val="18"/>
                <w:szCs w:val="18"/>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67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r>
      <w:tr>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Times Roman" w:hAnsi="Times Roman" w:eastAsia="宋体" w:cs="宋体"/>
                <w:kern w:val="0"/>
                <w:sz w:val="18"/>
                <w:szCs w:val="18"/>
              </w:rPr>
            </w:pPr>
          </w:p>
        </w:tc>
        <w:tc>
          <w:tcPr>
            <w:tcW w:w="13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Roman" w:hAnsi="Times Roman" w:eastAsia="宋体" w:cs="宋体"/>
                <w:kern w:val="0"/>
                <w:sz w:val="18"/>
                <w:szCs w:val="18"/>
              </w:rPr>
            </w:pPr>
            <w:r>
              <w:rPr>
                <w:rFonts w:hint="eastAsia" w:ascii="Times Roman" w:hAnsi="Times Roman" w:eastAsia="宋体" w:cs="宋体"/>
                <w:kern w:val="0"/>
                <w:sz w:val="18"/>
                <w:szCs w:val="18"/>
              </w:rPr>
              <w:t>生态效益指标</w:t>
            </w:r>
          </w:p>
        </w:tc>
        <w:tc>
          <w:tcPr>
            <w:tcW w:w="196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Roman" w:hAnsi="Times Roman" w:eastAsia="宋体" w:cs="宋体"/>
                <w:kern w:val="0"/>
                <w:sz w:val="18"/>
                <w:szCs w:val="18"/>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67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r>
      <w:tr>
        <w:tblPrEx>
          <w:tblCellMar>
            <w:top w:w="0" w:type="dxa"/>
            <w:left w:w="108" w:type="dxa"/>
            <w:bottom w:w="0" w:type="dxa"/>
            <w:right w:w="108" w:type="dxa"/>
          </w:tblCellMar>
        </w:tblPrEx>
        <w:trPr>
          <w:trHeight w:val="964"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满意度</w:t>
            </w:r>
          </w:p>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指标</w:t>
            </w:r>
          </w:p>
          <w:p>
            <w:pPr>
              <w:widowControl/>
              <w:spacing w:line="240" w:lineRule="exact"/>
              <w:jc w:val="center"/>
              <w:rPr>
                <w:rFonts w:ascii="Times Roman" w:hAnsi="Times Roman" w:eastAsia="宋体" w:cs="宋体"/>
                <w:kern w:val="0"/>
                <w:sz w:val="18"/>
                <w:szCs w:val="18"/>
              </w:rPr>
            </w:pPr>
            <w:r>
              <w:rPr>
                <w:rFonts w:ascii="Times Roman" w:hAnsi="Times Roman" w:eastAsia="宋体" w:cs="宋体"/>
                <w:kern w:val="0"/>
                <w:sz w:val="18"/>
                <w:szCs w:val="18"/>
              </w:rPr>
              <w:t>10</w:t>
            </w:r>
            <w:r>
              <w:rPr>
                <w:rFonts w:hint="eastAsia" w:ascii="Times Roman" w:hAnsi="Times Roman" w:eastAsia="宋体" w:cs="宋体"/>
                <w:kern w:val="0"/>
                <w:sz w:val="18"/>
                <w:szCs w:val="18"/>
              </w:rPr>
              <w:t>分</w:t>
            </w:r>
          </w:p>
        </w:tc>
        <w:tc>
          <w:tcPr>
            <w:tcW w:w="130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服务对象满意度指标</w:t>
            </w:r>
          </w:p>
        </w:tc>
        <w:tc>
          <w:tcPr>
            <w:tcW w:w="196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Roman" w:hAnsi="Times Roman" w:eastAsia="宋体" w:cs="宋体"/>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677"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hint="eastAsia" w:ascii="Times Roman" w:hAnsi="Times Roman" w:eastAsia="宋体" w:cs="宋体"/>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r>
              <w:rPr>
                <w:rFonts w:ascii="Times Roman" w:hAnsi="Times Roman" w:eastAsia="宋体" w:cs="宋体"/>
                <w:kern w:val="0"/>
                <w:sz w:val="18"/>
                <w:szCs w:val="18"/>
              </w:rPr>
              <w:t>100</w:t>
            </w:r>
          </w:p>
        </w:tc>
        <w:tc>
          <w:tcPr>
            <w:tcW w:w="677"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Roman" w:hAnsi="Times Roman" w:eastAsia="宋体" w:cs="宋体"/>
                <w:kern w:val="0"/>
                <w:sz w:val="18"/>
                <w:szCs w:val="18"/>
              </w:rPr>
            </w:pPr>
          </w:p>
        </w:tc>
      </w:tr>
    </w:tbl>
    <w:p>
      <w:pPr>
        <w:rPr>
          <w:rFonts w:ascii="Times Roman" w:hAnsi="Times Roman"/>
        </w:rPr>
      </w:pPr>
    </w:p>
    <w:p>
      <w:pPr>
        <w:spacing w:line="560" w:lineRule="exact"/>
        <w:jc w:val="both"/>
        <w:rPr>
          <w:rFonts w:eastAsia="仿宋_GB2312" w:cs="仿宋"/>
          <w:sz w:val="28"/>
          <w:szCs w:val="28"/>
        </w:rPr>
      </w:pPr>
    </w:p>
    <w:p>
      <w:pPr>
        <w:spacing w:line="560" w:lineRule="exact"/>
        <w:jc w:val="both"/>
        <w:rPr>
          <w:rFonts w:eastAsia="仿宋_GB2312" w:cs="仿宋"/>
          <w:sz w:val="28"/>
          <w:szCs w:val="28"/>
        </w:rPr>
      </w:pP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ascii="方正黑体_GBK" w:hAnsi="Tahoma" w:eastAsia="方正黑体_GBK" w:cs="Tahoma"/>
          <w:kern w:val="0"/>
          <w:sz w:val="32"/>
          <w:szCs w:val="32"/>
        </w:rPr>
      </w:pPr>
      <w:r>
        <w:rPr>
          <w:rFonts w:hint="eastAsia" w:ascii="方正黑体_GBK" w:hAnsi="宋体" w:eastAsia="方正黑体_GBK"/>
          <w:sz w:val="32"/>
          <w:szCs w:val="32"/>
        </w:rPr>
        <w:t>附件</w:t>
      </w:r>
      <w:r>
        <w:rPr>
          <w:rFonts w:hint="eastAsia" w:ascii="方正黑体_GBK" w:hAnsi="宋体" w:eastAsia="方正黑体_GBK"/>
          <w:sz w:val="32"/>
          <w:szCs w:val="32"/>
          <w:lang w:val="en-US" w:eastAsia="zh-CN"/>
        </w:rPr>
        <w:t>2</w:t>
      </w:r>
      <w:r>
        <w:rPr>
          <w:rFonts w:hint="eastAsia" w:ascii="方正黑体_GBK" w:hAnsi="宋体" w:eastAsia="方正黑体_GBK"/>
          <w:sz w:val="32"/>
          <w:szCs w:val="32"/>
        </w:rPr>
        <w:t>：</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方正小标宋_GBK" w:hAnsi="宋体" w:eastAsia="方正小标宋_GBK"/>
          <w:sz w:val="44"/>
          <w:szCs w:val="44"/>
        </w:rPr>
      </w:pPr>
      <w:r>
        <w:rPr>
          <w:rFonts w:hint="eastAsia" w:ascii="方正小标宋_GBK" w:hAnsi="宋体" w:eastAsia="方正小标宋_GBK" w:cs="Tahoma"/>
          <w:kern w:val="0"/>
          <w:sz w:val="44"/>
          <w:szCs w:val="44"/>
        </w:rPr>
        <w:t>部门年度项目</w:t>
      </w:r>
      <w:r>
        <w:rPr>
          <w:rFonts w:hint="eastAsia" w:ascii="方正小标宋_GBK" w:hAnsi="宋体" w:eastAsia="方正小标宋_GBK"/>
          <w:sz w:val="44"/>
          <w:szCs w:val="44"/>
        </w:rPr>
        <w:t>绩效自评工作报告</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（参考提纲）</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ascii="仿宋_GB2312" w:hAnsi="宋体" w:eastAsia="仿宋_GB2312"/>
          <w:b/>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一、绩效自评工作组织开展情况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主要包括部门绩效自评工作的组织情况、实施过程，部门预算安排及资金分配拨付，部门日常财务管理、专项监督检查及审计部门审查意见等情况。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二、绩效目标实现情况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主要包括部门总体工作开展情况，专项资金和具体预算支出项目的预期绩效目标完成情况、存在问题及评价结论，对未完成绩效目标或偏离绩效目标较大的要单独列明，并分析说明原因。</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三、绩效目标设定质量情况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主要包括通过绩效自评结果对比倒查的年初绩效目标设定质量情况，全面总结绩效目标设定是否清晰准确，绩效指标是否全面完整、科学合理，绩效标准是否恰当适宜、易于评价，深入分析原因，逐项查找差距。</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四、整改措施及结果应用</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eastAsia="仿宋_GB2312" w:cs="仿宋"/>
          <w:sz w:val="28"/>
          <w:szCs w:val="28"/>
        </w:rPr>
      </w:pPr>
      <w:r>
        <w:rPr>
          <w:rFonts w:hint="eastAsia" w:ascii="仿宋_GB2312" w:hAnsi="宋体" w:eastAsia="仿宋_GB2312"/>
          <w:sz w:val="32"/>
          <w:szCs w:val="32"/>
        </w:rPr>
        <w:t>主要包括针对存在的问题，研究制定的整改思路和工作措施，在</w:t>
      </w:r>
      <w:r>
        <w:rPr>
          <w:rFonts w:hint="eastAsia" w:ascii="仿宋_GB2312" w:eastAsia="仿宋_GB2312" w:cs="宋体"/>
          <w:kern w:val="0"/>
          <w:sz w:val="32"/>
          <w:szCs w:val="32"/>
          <w:lang w:val="zh-CN"/>
        </w:rPr>
        <w:t>健全制度、完善政策、改进管理、优化</w:t>
      </w:r>
      <w:r>
        <w:rPr>
          <w:rFonts w:hint="eastAsia" w:ascii="仿宋_GB2312" w:hAnsi="宋体" w:eastAsia="仿宋_GB2312"/>
          <w:sz w:val="32"/>
          <w:szCs w:val="32"/>
        </w:rPr>
        <w:t>流程等提高部门绩效方面的具体做法，在</w:t>
      </w:r>
      <w:r>
        <w:rPr>
          <w:rFonts w:hint="eastAsia" w:ascii="仿宋_GB2312" w:eastAsia="仿宋_GB2312" w:cs="宋体"/>
          <w:kern w:val="0"/>
          <w:sz w:val="32"/>
          <w:szCs w:val="32"/>
          <w:lang w:val="zh-CN"/>
        </w:rPr>
        <w:t>整合资金、调整项目及改善投向等优化部门支出结构方面的安排，在提高绩效目标设置质量方面的打算等</w:t>
      </w:r>
      <w:r>
        <w:rPr>
          <w:rFonts w:hint="eastAsia" w:ascii="仿宋_GB2312" w:hAnsi="宋体" w:eastAsia="仿宋_GB2312"/>
          <w:sz w:val="32"/>
          <w:szCs w:val="32"/>
        </w:rPr>
        <w:t>。</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Roman">
    <w:altName w:val="Times New Roman"/>
    <w:panose1 w:val="00000000000000000000"/>
    <w:charset w:val="00"/>
    <w:family w:val="roman"/>
    <w:pitch w:val="default"/>
    <w:sig w:usb0="00000000" w:usb1="00000000" w:usb2="00000000" w:usb3="00000000" w:csb0="00000001"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275172641"/>
                            <w:docPartObj>
                              <w:docPartGallery w:val="autotext"/>
                            </w:docPartObj>
                          </w:sdtPr>
                          <w:sdtContent>
                            <w:p>
                              <w:pPr>
                                <w:pStyle w:val="4"/>
                                <w:jc w:val="center"/>
                              </w:pPr>
                              <w:r>
                                <w:rPr>
                                  <w:b w:val="0"/>
                                  <w:bCs w:val="0"/>
                                  <w:sz w:val="28"/>
                                  <w:szCs w:val="28"/>
                                </w:rPr>
                                <w:fldChar w:fldCharType="begin"/>
                              </w:r>
                              <w:r>
                                <w:rPr>
                                  <w:b w:val="0"/>
                                  <w:bCs w:val="0"/>
                                  <w:sz w:val="28"/>
                                  <w:szCs w:val="28"/>
                                </w:rPr>
                                <w:instrText xml:space="preserve">PAGE   \* MERGEFORMAT</w:instrText>
                              </w:r>
                              <w:r>
                                <w:rPr>
                                  <w:b w:val="0"/>
                                  <w:bCs w:val="0"/>
                                  <w:sz w:val="28"/>
                                  <w:szCs w:val="28"/>
                                </w:rPr>
                                <w:fldChar w:fldCharType="separate"/>
                              </w:r>
                              <w:r>
                                <w:rPr>
                                  <w:b w:val="0"/>
                                  <w:bCs w:val="0"/>
                                  <w:sz w:val="28"/>
                                  <w:szCs w:val="28"/>
                                  <w:lang w:val="zh-CN"/>
                                </w:rPr>
                                <w:t>29</w:t>
                              </w:r>
                              <w:r>
                                <w:rPr>
                                  <w:b w:val="0"/>
                                  <w:bCs w:val="0"/>
                                  <w:sz w:val="28"/>
                                  <w:szCs w:val="28"/>
                                </w:rPr>
                                <w:fldChar w:fldCharType="end"/>
                              </w:r>
                            </w:p>
                          </w:sdtContent>
                        </w:sdt>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sdt>
                    <w:sdtPr>
                      <w:id w:val="-1275172641"/>
                      <w:docPartObj>
                        <w:docPartGallery w:val="autotext"/>
                      </w:docPartObj>
                    </w:sdtPr>
                    <w:sdtContent>
                      <w:p>
                        <w:pPr>
                          <w:pStyle w:val="4"/>
                          <w:jc w:val="center"/>
                        </w:pPr>
                        <w:r>
                          <w:rPr>
                            <w:b w:val="0"/>
                            <w:bCs w:val="0"/>
                            <w:sz w:val="28"/>
                            <w:szCs w:val="28"/>
                          </w:rPr>
                          <w:fldChar w:fldCharType="begin"/>
                        </w:r>
                        <w:r>
                          <w:rPr>
                            <w:b w:val="0"/>
                            <w:bCs w:val="0"/>
                            <w:sz w:val="28"/>
                            <w:szCs w:val="28"/>
                          </w:rPr>
                          <w:instrText xml:space="preserve">PAGE   \* MERGEFORMAT</w:instrText>
                        </w:r>
                        <w:r>
                          <w:rPr>
                            <w:b w:val="0"/>
                            <w:bCs w:val="0"/>
                            <w:sz w:val="28"/>
                            <w:szCs w:val="28"/>
                          </w:rPr>
                          <w:fldChar w:fldCharType="separate"/>
                        </w:r>
                        <w:r>
                          <w:rPr>
                            <w:b w:val="0"/>
                            <w:bCs w:val="0"/>
                            <w:sz w:val="28"/>
                            <w:szCs w:val="28"/>
                            <w:lang w:val="zh-CN"/>
                          </w:rPr>
                          <w:t>29</w:t>
                        </w:r>
                        <w:r>
                          <w:rPr>
                            <w:b w:val="0"/>
                            <w:bCs w:val="0"/>
                            <w:sz w:val="28"/>
                            <w:szCs w:val="28"/>
                          </w:rPr>
                          <w:fldChar w:fldCharType="end"/>
                        </w:r>
                      </w:p>
                    </w:sdtContent>
                  </w:sdt>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C6C"/>
    <w:rsid w:val="00011DA3"/>
    <w:rsid w:val="00027AD7"/>
    <w:rsid w:val="00030644"/>
    <w:rsid w:val="0006465B"/>
    <w:rsid w:val="0018526F"/>
    <w:rsid w:val="001B24FE"/>
    <w:rsid w:val="00250280"/>
    <w:rsid w:val="00383BDB"/>
    <w:rsid w:val="003C15CA"/>
    <w:rsid w:val="003D0754"/>
    <w:rsid w:val="00400246"/>
    <w:rsid w:val="0043610D"/>
    <w:rsid w:val="00446AC0"/>
    <w:rsid w:val="004673B7"/>
    <w:rsid w:val="004B43ED"/>
    <w:rsid w:val="00550E2A"/>
    <w:rsid w:val="005A2B71"/>
    <w:rsid w:val="005B3058"/>
    <w:rsid w:val="00657E59"/>
    <w:rsid w:val="00661D57"/>
    <w:rsid w:val="006C7CF6"/>
    <w:rsid w:val="0073415A"/>
    <w:rsid w:val="007370B6"/>
    <w:rsid w:val="00753676"/>
    <w:rsid w:val="007D5774"/>
    <w:rsid w:val="0080514B"/>
    <w:rsid w:val="00837315"/>
    <w:rsid w:val="009B00B3"/>
    <w:rsid w:val="00A429A8"/>
    <w:rsid w:val="00A70621"/>
    <w:rsid w:val="00A7628E"/>
    <w:rsid w:val="00A943B5"/>
    <w:rsid w:val="00B46DEB"/>
    <w:rsid w:val="00BD16F4"/>
    <w:rsid w:val="00C81973"/>
    <w:rsid w:val="00C95816"/>
    <w:rsid w:val="00C97F4F"/>
    <w:rsid w:val="00CE744D"/>
    <w:rsid w:val="00CF5C6C"/>
    <w:rsid w:val="00D62D67"/>
    <w:rsid w:val="00DC38E7"/>
    <w:rsid w:val="00E32FF2"/>
    <w:rsid w:val="00F0024A"/>
    <w:rsid w:val="00F805E7"/>
    <w:rsid w:val="04E0642F"/>
    <w:rsid w:val="05107C89"/>
    <w:rsid w:val="0AF91C0D"/>
    <w:rsid w:val="17BC5862"/>
    <w:rsid w:val="1CC21B1C"/>
    <w:rsid w:val="21764ADB"/>
    <w:rsid w:val="26675D8A"/>
    <w:rsid w:val="286E5D7C"/>
    <w:rsid w:val="2A3D0C06"/>
    <w:rsid w:val="2EEC2436"/>
    <w:rsid w:val="435634FA"/>
    <w:rsid w:val="50193920"/>
    <w:rsid w:val="58864547"/>
    <w:rsid w:val="5A8221E3"/>
    <w:rsid w:val="5FB2789E"/>
    <w:rsid w:val="61251748"/>
    <w:rsid w:val="655101AC"/>
    <w:rsid w:val="702E33DD"/>
    <w:rsid w:val="7C644564"/>
    <w:rsid w:val="7EA36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7">
    <w:name w:val="Title"/>
    <w:basedOn w:val="1"/>
    <w:next w:val="1"/>
    <w:link w:val="10"/>
    <w:qFormat/>
    <w:uiPriority w:val="99"/>
    <w:pPr>
      <w:spacing w:before="240" w:after="60"/>
      <w:jc w:val="center"/>
      <w:outlineLvl w:val="0"/>
    </w:pPr>
    <w:rPr>
      <w:rFonts w:ascii="Cambria" w:hAnsi="Cambria"/>
      <w:b/>
      <w:bCs/>
      <w:sz w:val="32"/>
      <w:szCs w:val="32"/>
    </w:rPr>
  </w:style>
  <w:style w:type="character" w:customStyle="1" w:styleId="10">
    <w:name w:val="标题 Char"/>
    <w:basedOn w:val="9"/>
    <w:link w:val="7"/>
    <w:qFormat/>
    <w:uiPriority w:val="99"/>
    <w:rPr>
      <w:rFonts w:ascii="Cambria" w:hAnsi="Cambria" w:eastAsia="宋体" w:cs="Times New Roman"/>
      <w:b/>
      <w:bCs/>
      <w:sz w:val="32"/>
      <w:szCs w:val="32"/>
    </w:rPr>
  </w:style>
  <w:style w:type="paragraph" w:styleId="11">
    <w:name w:val="List Paragraph"/>
    <w:basedOn w:val="1"/>
    <w:qFormat/>
    <w:uiPriority w:val="99"/>
    <w:pPr>
      <w:ind w:firstLine="420" w:firstLineChars="200"/>
    </w:pPr>
    <w:rPr>
      <w:rFonts w:ascii="Calibri" w:hAnsi="Calibri"/>
      <w:szCs w:val="22"/>
    </w:rPr>
  </w:style>
  <w:style w:type="character" w:customStyle="1" w:styleId="12">
    <w:name w:val="页眉 Char"/>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2960</Words>
  <Characters>2996</Characters>
  <Lines>106</Lines>
  <Paragraphs>29</Paragraphs>
  <TotalTime>9</TotalTime>
  <ScaleCrop>false</ScaleCrop>
  <LinksUpToDate>false</LinksUpToDate>
  <CharactersWithSpaces>3091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2021-10-25T02:38:00Z</dcterms:created>
  <dc:creator>Windows User</dc:creator>
  <cp:lastModifiedBy>Administrator</cp:lastModifiedBy>
  <cp:lastPrinted>2022-03-17T09:19:00Z</cp:lastPrinted>
  <dcterms:modified xsi:type="dcterms:W3CDTF">2022-04-20T08:57:44Z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8207453813284F328F93544E8C1E3C84</vt:lpwstr>
  </property>
</Properties>
</file>