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承德应用技术职业学院</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关于开展“塞罕坝精神进校园”主题教育</w:t>
      </w:r>
    </w:p>
    <w:p>
      <w:pPr>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b/>
          <w:bCs/>
          <w:sz w:val="36"/>
          <w:szCs w:val="36"/>
        </w:rPr>
      </w:pPr>
      <w:r>
        <w:rPr>
          <w:rFonts w:hint="eastAsia" w:ascii="方正小标宋简体" w:hAnsi="方正小标宋简体" w:eastAsia="方正小标宋简体" w:cs="方正小标宋简体"/>
          <w:b w:val="0"/>
          <w:bCs w:val="0"/>
          <w:sz w:val="44"/>
          <w:szCs w:val="44"/>
        </w:rPr>
        <w:t>实践活动的实施方案</w:t>
      </w:r>
    </w:p>
    <w:bookmarkEnd w:id="0"/>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总书记视察承德重要讲话指示精神，大力弘扬塞罕坝精神，按照市委提出的全方位深化“三个植入”、大力度推进“四个再建功立业”的要求，以“四个融入”为切入点，将弘扬塞罕坝精神作为加强学生思想政治教育和德育工作的重要内容，推进塞罕坝精神进校园。上级有关文件要求，结合学院工作实际制定实施方案如下：</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一、指导思想</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深入学习贯彻习近平总书记视察承德重要讲话指示精神，充分发挥塞罕坝精神作为中国共产党精神谱系重要组成部分的激励作用，坚定不移传承好“牢记使命、艰苦创业、绿色发展”的塞罕坝精神，不断增强“四个意识”、坚定“四个自信”、做到“两个维护”，真正让塞罕坝精神全面植入学院精神、植入校园文化、植入思政课堂，植入师生灵魂血脉，推动学院高质量发展。</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（一）将塞罕坝精神融入课堂教学</w:t>
      </w:r>
    </w:p>
    <w:p>
      <w:pPr>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充分发挥课堂主渠道作用，通过思政课堂、课程思政、主题团课等途径，积极开发和建设与“塞罕坝精神”相关的课程资源，将塞罕坝精神融入课堂教学，扎实开展塞罕坝精神的学习教育，</w:t>
      </w:r>
    </w:p>
    <w:p>
      <w:pPr>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推动塞罕坝精神进教材、进课堂、进头脑，引导学生致敬榜样、学习榜样，自觉学习和弘扬塞罕坝精神。（责任部门：思政部、各院系、教务处、学工处（团委））</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（二）将塞罕坝精神融入校园环境</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橱窗、道旗、宣传栏、LED显示屏、校园广播等传统宣传平台和网站、微信公众号、抖音等网络新媒体平台，展示习近平总书记视察承德宣传标语、弘扬塞罕坝精神图文资料，通过广大师生喜闻乐见的形式，充分利用多元平台的广泛传播，将塞罕坝精神逐渐融入校园环境。（责任部门：党群工作处、学工处（团委）、各校园媒体平台运维单位）</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（三）将塞罕坝精神融入主题活动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弘扬塞罕坝精神为主题，充分挖掘塞罕坝精神实质，广泛开展“开学第一课”、征文、演讲、书画、手抄报、国旗下讲话、主题班会、座谈会、文创产品研发及文艺作品创作、展演等系列活动，开展引导师生学习和弘扬塞罕坝建设者们艰苦奋斗、甘于奉献的先进精神，根植绿色发展理念，筑牢热爱家乡、建设家乡、成就家乡的使命意识和担当精神。（责任部门：学工处（团委）、体育艺术部、各院系）</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（四）将塞罕坝精神融入社会实践</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践行塞罕坝精神，不断宣传绿色发展理念，结合承德市文明城市和学院文明校园创建等工作，积极探索塞罕坝精神“实践育人”平台，开展多种劳动实践、志愿服务等实践活动，不断强化师生生态文明理念，培养学生守护绿色家园的使命感和责任感。（责任部门：党群工作处、学工处（团委）、体育艺术部、各院系）</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三、工作要求</w:t>
      </w:r>
      <w:r>
        <w:rPr>
          <w:rFonts w:hint="eastAsia" w:ascii="仿宋_GB2312" w:hAnsi="仿宋_GB2312" w:eastAsia="仿宋_GB2312" w:cs="仿宋_GB2312"/>
          <w:b/>
          <w:bCs/>
          <w:sz w:val="32"/>
          <w:szCs w:val="32"/>
        </w:rPr>
        <w:t xml:space="preserve"> </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（一）提高思想认识</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弘扬塞罕坝精神专项活动，是践行社会主义核心价值观的重要途径，是思想道德教育的重要抓手。各院系及责任部门要充分了解此次活动的重要意义，切实加强组织领导，制定具体落实子方案，安排好时间节点推进各项活动，确保取得实效。</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（二）广泛宣传发动</w:t>
      </w:r>
    </w:p>
    <w:p>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院系及责任部门要因地制宜、因时制宜，按照全院整体部署、疫情防控相关要求，结合我院实际情况精心设计，创新方式方法，丰富形式载体，增强活动的吸引力和感染力，积极调动师生参与积极性，确保活动有声势、有效果。</w:t>
      </w:r>
    </w:p>
    <w:p>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（三）注意工作反馈</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院系及责任部门要做好活动素材的收集报送工作，及时收集活动照片、文字及视频材料，于每月13日、27日准时将相关工作落实情况报送至党群工作处邮箱，以便学校按时报送上级部门。照片要求显示活动人数、活动主题、清晰度高、构图完整；文字材料要求结构清晰，突出主题特色，写明活动时间、内容、参与人数和活动所达到的效果，要素齐全。</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    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"mailto:yzydqgzc@163.com" </w:instrText>
      </w:r>
      <w:r>
        <w:rPr>
          <w:rFonts w:hint="eastAsia" w:ascii="仿宋_GB2312" w:hAnsi="仿宋_GB2312" w:eastAsia="仿宋_GB2312" w:cs="仿宋_GB2312"/>
          <w:sz w:val="32"/>
          <w:szCs w:val="32"/>
        </w:rPr>
        <w:fldChar w:fldCharType="separate"/>
      </w:r>
      <w:r>
        <w:rPr>
          <w:rStyle w:val="10"/>
          <w:rFonts w:hint="eastAsia" w:ascii="仿宋_GB2312" w:hAnsi="仿宋_GB2312" w:eastAsia="仿宋_GB2312" w:cs="仿宋_GB2312"/>
          <w:color w:val="auto"/>
          <w:sz w:val="32"/>
          <w:szCs w:val="32"/>
          <w:u w:val="none"/>
        </w:rPr>
        <w:t>yzydqgzc@163.com</w:t>
      </w:r>
      <w:r>
        <w:rPr>
          <w:rStyle w:val="10"/>
          <w:rFonts w:hint="eastAsia" w:ascii="仿宋_GB2312" w:hAnsi="仿宋_GB2312" w:eastAsia="仿宋_GB2312" w:cs="仿宋_GB2312"/>
          <w:color w:val="auto"/>
          <w:sz w:val="32"/>
          <w:szCs w:val="32"/>
          <w:u w:val="none"/>
        </w:rPr>
        <w:fldChar w:fldCharType="end"/>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 系 人：刘航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联系电话：2512629 </w:t>
      </w:r>
    </w:p>
    <w:p>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rPr>
      </w:pPr>
      <w:r>
        <w:rPr>
          <w:rFonts w:hint="eastAsia" w:ascii="仿宋_GB2312" w:hAnsi="仿宋_GB2312" w:eastAsia="仿宋_GB2312" w:cs="仿宋_GB2312"/>
          <w:sz w:val="32"/>
          <w:szCs w:val="32"/>
        </w:rPr>
        <w:t xml:space="preserve">   </w:t>
      </w: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 w:eastAsia="仿宋_GB2312" w:cs="宋体"/>
          <w:bCs/>
          <w:color w:val="000000"/>
          <w:kern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 w:eastAsia="仿宋_GB2312" w:cs="宋体"/>
          <w:bCs/>
          <w:color w:val="000000"/>
          <w:kern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 w:eastAsia="仿宋_GB2312" w:cs="宋体"/>
          <w:bCs/>
          <w:color w:val="000000"/>
          <w:kern w:val="0"/>
          <w:sz w:val="32"/>
          <w:szCs w:val="32"/>
          <w:lang w:val="en-US" w:eastAsia="zh-CN"/>
        </w:rPr>
      </w:pPr>
    </w:p>
    <w:p>
      <w:pPr>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 w:eastAsia="仿宋_GB2312" w:cs="宋体"/>
          <w:bCs/>
          <w:color w:val="000000"/>
          <w:kern w:val="0"/>
          <w:sz w:val="32"/>
          <w:szCs w:val="32"/>
          <w:lang w:val="en-US" w:eastAsia="zh-CN"/>
        </w:rPr>
      </w:pPr>
      <w:r>
        <w:rPr>
          <w:rFonts w:hint="eastAsia" w:ascii="仿宋_GB2312" w:hAnsi="仿宋" w:eastAsia="仿宋_GB2312" w:cs="宋体"/>
          <w:bCs/>
          <w:color w:val="000000"/>
          <w:kern w:val="0"/>
          <w:sz w:val="32"/>
          <w:szCs w:val="32"/>
          <w:lang w:val="en-US" w:eastAsia="zh-CN"/>
        </w:rPr>
        <w:t xml:space="preserve">     </w:t>
      </w:r>
    </w:p>
    <w:p>
      <w:pPr>
        <w:pageBreakBefore w:val="0"/>
        <w:widowControl w:val="0"/>
        <w:kinsoku/>
        <w:wordWrap/>
        <w:overflowPunct/>
        <w:topLinePunct w:val="0"/>
        <w:autoSpaceDE/>
        <w:autoSpaceDN/>
        <w:bidi w:val="0"/>
        <w:adjustRightInd/>
        <w:snapToGrid/>
        <w:spacing w:line="560" w:lineRule="exact"/>
        <w:jc w:val="both"/>
        <w:textAlignment w:val="auto"/>
        <w:rPr>
          <w:rFonts w:ascii="仿宋" w:hAnsi="仿宋" w:eastAsia="仿宋"/>
          <w:sz w:val="28"/>
          <w:szCs w:val="28"/>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附件</w:t>
      </w:r>
    </w:p>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44"/>
          <w:szCs w:val="48"/>
        </w:rPr>
      </w:pPr>
      <w:r>
        <w:rPr>
          <w:rFonts w:hint="eastAsia" w:ascii="黑体" w:hAnsi="黑体" w:eastAsia="黑体"/>
          <w:sz w:val="44"/>
          <w:szCs w:val="48"/>
        </w:rPr>
        <w:t>弘扬塞罕坝精神专项活动任务分解表</w:t>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1160"/>
        <w:gridCol w:w="1602"/>
        <w:gridCol w:w="6336"/>
        <w:gridCol w:w="1924"/>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22" w:type="dxa"/>
            <w:gridSpan w:val="2"/>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6"/>
              </w:rPr>
            </w:pPr>
            <w:r>
              <w:rPr>
                <w:rFonts w:hint="eastAsia" w:ascii="黑体" w:hAnsi="黑体" w:eastAsia="黑体"/>
                <w:sz w:val="32"/>
                <w:szCs w:val="36"/>
              </w:rPr>
              <w:t>主要任务</w:t>
            </w: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6"/>
              </w:rPr>
            </w:pPr>
            <w:r>
              <w:rPr>
                <w:rFonts w:hint="eastAsia" w:ascii="黑体" w:hAnsi="黑体" w:eastAsia="黑体"/>
                <w:sz w:val="32"/>
                <w:szCs w:val="36"/>
              </w:rPr>
              <w:t>具体内容</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6"/>
              </w:rPr>
            </w:pPr>
            <w:r>
              <w:rPr>
                <w:rFonts w:hint="eastAsia" w:ascii="黑体" w:hAnsi="黑体" w:eastAsia="黑体"/>
                <w:sz w:val="32"/>
                <w:szCs w:val="36"/>
              </w:rPr>
              <w:t>时间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sz w:val="32"/>
                <w:szCs w:val="36"/>
              </w:rPr>
            </w:pPr>
            <w:r>
              <w:rPr>
                <w:rFonts w:hint="eastAsia" w:ascii="黑体" w:hAnsi="黑体" w:eastAsia="黑体"/>
                <w:sz w:val="32"/>
                <w:szCs w:val="36"/>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一</w:t>
            </w:r>
          </w:p>
        </w:tc>
        <w:tc>
          <w:tcPr>
            <w:tcW w:w="1160"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将塞罕坝精神融入课堂教学</w:t>
            </w: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将塞罕坝精神融入思政课程教学目标和教学内容，找准塞罕坝精神与课程教学的结合点，不断丰富教学方式，创新教学方法，将塞罕坝精神融入思政课程。</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思政部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不断探索新方法将塞罕坝精神融入到专业课、通识课的教学过程，打造全员、全程、全课程育人格局，将塞罕坝精神融入课程思政。</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各院系、教务处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依托主题团课，不断探索团课新形式，将塞罕坝精神列入思想道德课程的重要内容。</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学工处（团委）、</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各院系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二</w:t>
            </w:r>
          </w:p>
        </w:tc>
        <w:tc>
          <w:tcPr>
            <w:tcW w:w="1160"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将塞罕坝精神融入校园环境</w:t>
            </w: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充分利用橱窗、道旗、宣传栏、</w:t>
            </w:r>
            <w:r>
              <w:rPr>
                <w:rFonts w:ascii="仿宋" w:hAnsi="仿宋" w:eastAsia="仿宋"/>
                <w:sz w:val="28"/>
                <w:szCs w:val="28"/>
              </w:rPr>
              <w:t>LED显示屏等</w:t>
            </w:r>
            <w:r>
              <w:rPr>
                <w:rFonts w:hint="eastAsia" w:ascii="仿宋" w:hAnsi="仿宋" w:eastAsia="仿宋"/>
                <w:sz w:val="28"/>
                <w:szCs w:val="28"/>
              </w:rPr>
              <w:t>传统宣传平台，以塞罕坝精神为主题，结合校园文化特色，打造塞罕坝精神主题校园文化</w:t>
            </w:r>
            <w:r>
              <w:rPr>
                <w:rFonts w:ascii="仿宋" w:hAnsi="仿宋" w:eastAsia="仿宋"/>
                <w:sz w:val="28"/>
                <w:szCs w:val="28"/>
              </w:rPr>
              <w:t>。</w:t>
            </w:r>
          </w:p>
        </w:tc>
        <w:tc>
          <w:tcPr>
            <w:tcW w:w="1924"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党群工作处、各校园媒体平台运维单位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充分了利用网站、微信公众号、抖音等网络新媒体传播平台制作弘扬塞罕坝精神系列专题网页、专题推送、公益广告，营造学习和弘扬塞罕坝精神的浓厚氛围。</w:t>
            </w:r>
          </w:p>
        </w:tc>
        <w:tc>
          <w:tcPr>
            <w:tcW w:w="1924"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2186"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充分利用校园广播讲述塞罕坝荒原变林海的故事，讲述三代塞罕坝人艰苦奋斗的故事，让塞罕坝精神在新时代永放光芒。</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学工处（团委）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三</w:t>
            </w:r>
          </w:p>
        </w:tc>
        <w:tc>
          <w:tcPr>
            <w:tcW w:w="1160"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将塞罕坝精神融入主题活动</w:t>
            </w: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以弘扬塞罕坝精神为主题，开展征文、手抄报、演讲比赛等系列主题活动，更加深入的阐释塞罕坝精神核心要义。</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两学期开展不同类别活动</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学工处（团委）</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、各院系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将塞罕坝精神融入到“开学第一课”、国旗下讲话和主题班会，在全院宣传塞罕坝林场建设者的先进事迹，学习他们的宝贵精神。</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学工处（团委）、党群工作处、各院系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开展文创产品研发、宣传活动</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7月前</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津承艺术设计学院、党群工作处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602"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组织“弘扬塞罕坝精神”文艺作品展演</w:t>
            </w:r>
          </w:p>
        </w:tc>
        <w:tc>
          <w:tcPr>
            <w:tcW w:w="6336" w:type="dxa"/>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开展“牢记总书记嘱托，弘扬塞罕坝精神”舞台作品创作展演，通过多种形式，展示塞罕坝优美环境和塞罕坝人的奋斗故事。</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体育艺术部、</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思政部、</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学前教育系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602" w:type="dxa"/>
            <w:vMerge w:val="continue"/>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p>
        </w:tc>
        <w:tc>
          <w:tcPr>
            <w:tcW w:w="6336" w:type="dxa"/>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开展“我心目中的塞罕坝”书画、摄影作品征集展览，并将优秀作品通过网站、微信公众号进行展播。（优秀作品将推荐至文明办进行展演）</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月、</w:t>
            </w:r>
            <w:r>
              <w:rPr>
                <w:rFonts w:ascii="仿宋" w:hAnsi="仿宋" w:eastAsia="仿宋"/>
                <w:sz w:val="28"/>
                <w:szCs w:val="28"/>
              </w:rPr>
              <w:t>10</w:t>
            </w:r>
            <w:r>
              <w:rPr>
                <w:rFonts w:hint="eastAsia" w:ascii="仿宋" w:hAnsi="仿宋" w:eastAsia="仿宋"/>
                <w:sz w:val="28"/>
                <w:szCs w:val="28"/>
              </w:rPr>
              <w:t>月、1</w:t>
            </w:r>
            <w:r>
              <w:rPr>
                <w:rFonts w:ascii="仿宋" w:hAnsi="仿宋" w:eastAsia="仿宋"/>
                <w:sz w:val="28"/>
                <w:szCs w:val="28"/>
              </w:rPr>
              <w:t>2</w:t>
            </w:r>
            <w:r>
              <w:rPr>
                <w:rFonts w:hint="eastAsia" w:ascii="仿宋" w:hAnsi="仿宋" w:eastAsia="仿宋"/>
                <w:sz w:val="28"/>
                <w:szCs w:val="28"/>
              </w:rPr>
              <w:t>月</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学工处（团委）、各院系、</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党群工作处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62"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四</w:t>
            </w:r>
          </w:p>
        </w:tc>
        <w:tc>
          <w:tcPr>
            <w:tcW w:w="1160" w:type="dxa"/>
            <w:vMerge w:val="restart"/>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将塞罕坝精神融入社会实践</w:t>
            </w: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开展以弘扬塞罕坝精神为主题的各类劳动实践活动，在学院开展生态文明宣传、环境保护、认养花坛绿地等活动，践行生态文明，争做美好环境的守护者。</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体育艺术部、</w:t>
            </w:r>
          </w:p>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各院系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62"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1160" w:type="dxa"/>
            <w:vMerge w:val="continue"/>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p>
        </w:tc>
        <w:tc>
          <w:tcPr>
            <w:tcW w:w="7938" w:type="dxa"/>
            <w:gridSpan w:val="2"/>
            <w:vAlign w:val="center"/>
          </w:tcPr>
          <w:p>
            <w:pPr>
              <w:pageBreakBefore w:val="0"/>
              <w:widowControl w:val="0"/>
              <w:kinsoku/>
              <w:wordWrap/>
              <w:overflowPunct/>
              <w:topLinePunct w:val="0"/>
              <w:autoSpaceDE/>
              <w:autoSpaceDN/>
              <w:bidi w:val="0"/>
              <w:adjustRightInd/>
              <w:snapToGrid/>
              <w:spacing w:line="560" w:lineRule="exact"/>
              <w:jc w:val="left"/>
              <w:textAlignment w:val="auto"/>
              <w:rPr>
                <w:rFonts w:ascii="仿宋" w:hAnsi="仿宋" w:eastAsia="仿宋"/>
                <w:sz w:val="28"/>
                <w:szCs w:val="28"/>
              </w:rPr>
            </w:pPr>
            <w:r>
              <w:rPr>
                <w:rFonts w:hint="eastAsia" w:ascii="仿宋" w:hAnsi="仿宋" w:eastAsia="仿宋"/>
                <w:sz w:val="28"/>
                <w:szCs w:val="28"/>
              </w:rPr>
              <w:t>组织学生到结对县区、社区等开展塞罕坝精神宣讲、文明礼仪宣讲，文明风尚引领等志愿服务，并将其纳入社会实践课。</w:t>
            </w:r>
          </w:p>
        </w:tc>
        <w:tc>
          <w:tcPr>
            <w:tcW w:w="1924"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贯穿全年</w:t>
            </w:r>
          </w:p>
        </w:tc>
        <w:tc>
          <w:tcPr>
            <w:tcW w:w="2186" w:type="dxa"/>
            <w:vAlign w:val="center"/>
          </w:tcPr>
          <w:p>
            <w:pPr>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sz w:val="28"/>
                <w:szCs w:val="28"/>
              </w:rPr>
            </w:pPr>
            <w:r>
              <w:rPr>
                <w:rFonts w:hint="eastAsia" w:ascii="仿宋" w:hAnsi="仿宋" w:eastAsia="仿宋"/>
                <w:sz w:val="28"/>
                <w:szCs w:val="28"/>
              </w:rPr>
              <w:t>学工处（团委）、各院系</w:t>
            </w:r>
          </w:p>
        </w:tc>
      </w:tr>
    </w:tbl>
    <w:p>
      <w:pPr>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28"/>
          <w:szCs w:val="28"/>
        </w:rPr>
      </w:pPr>
    </w:p>
    <w:p>
      <w:pPr>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sz w:val="28"/>
          <w:szCs w:val="28"/>
        </w:rPr>
      </w:pPr>
    </w:p>
    <w:p>
      <w:pPr>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sz w:val="28"/>
          <w:szCs w:val="28"/>
        </w:rPr>
      </w:pPr>
    </w:p>
    <w:p>
      <w:pPr>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ascii="仿宋" w:hAnsi="仿宋" w:eastAsia="仿宋"/>
          <w:sz w:val="28"/>
          <w:szCs w:val="28"/>
        </w:rPr>
      </w:pPr>
    </w:p>
    <w:sectPr>
      <w:footerReference r:id="rId4" w:type="default"/>
      <w:pgSz w:w="16838" w:h="11906" w:orient="landscape"/>
      <w:pgMar w:top="1134" w:right="1304" w:bottom="1134" w:left="964"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C2"/>
    <w:rsid w:val="00006121"/>
    <w:rsid w:val="00011550"/>
    <w:rsid w:val="00016F2F"/>
    <w:rsid w:val="00021CD9"/>
    <w:rsid w:val="000302E3"/>
    <w:rsid w:val="00044D9D"/>
    <w:rsid w:val="00067F3E"/>
    <w:rsid w:val="000711CA"/>
    <w:rsid w:val="00072DED"/>
    <w:rsid w:val="00081E73"/>
    <w:rsid w:val="000A5F83"/>
    <w:rsid w:val="000A7956"/>
    <w:rsid w:val="000B57F8"/>
    <w:rsid w:val="000B5B3B"/>
    <w:rsid w:val="000D1247"/>
    <w:rsid w:val="000D66BA"/>
    <w:rsid w:val="000E5DFD"/>
    <w:rsid w:val="001022D6"/>
    <w:rsid w:val="001101A0"/>
    <w:rsid w:val="00121928"/>
    <w:rsid w:val="0013466A"/>
    <w:rsid w:val="001660C8"/>
    <w:rsid w:val="0017266F"/>
    <w:rsid w:val="00182A31"/>
    <w:rsid w:val="001968EE"/>
    <w:rsid w:val="00197177"/>
    <w:rsid w:val="001A67F0"/>
    <w:rsid w:val="001C597A"/>
    <w:rsid w:val="001D6EA0"/>
    <w:rsid w:val="001E27DC"/>
    <w:rsid w:val="001E2ADE"/>
    <w:rsid w:val="001E3C7E"/>
    <w:rsid w:val="00205C7A"/>
    <w:rsid w:val="002608CF"/>
    <w:rsid w:val="00266931"/>
    <w:rsid w:val="0027236C"/>
    <w:rsid w:val="0027485A"/>
    <w:rsid w:val="00276A31"/>
    <w:rsid w:val="00283F7C"/>
    <w:rsid w:val="00294474"/>
    <w:rsid w:val="002B21DB"/>
    <w:rsid w:val="002C04B9"/>
    <w:rsid w:val="002C54FA"/>
    <w:rsid w:val="002D229D"/>
    <w:rsid w:val="002D469F"/>
    <w:rsid w:val="002D6893"/>
    <w:rsid w:val="002E26BB"/>
    <w:rsid w:val="002F1357"/>
    <w:rsid w:val="002F3672"/>
    <w:rsid w:val="002F41A4"/>
    <w:rsid w:val="002F53C2"/>
    <w:rsid w:val="00305073"/>
    <w:rsid w:val="0031488E"/>
    <w:rsid w:val="0032618B"/>
    <w:rsid w:val="00327A3D"/>
    <w:rsid w:val="0033093F"/>
    <w:rsid w:val="003321B4"/>
    <w:rsid w:val="003538CD"/>
    <w:rsid w:val="003607D0"/>
    <w:rsid w:val="0037609D"/>
    <w:rsid w:val="00380456"/>
    <w:rsid w:val="00390DD3"/>
    <w:rsid w:val="00393348"/>
    <w:rsid w:val="003B4317"/>
    <w:rsid w:val="003C5713"/>
    <w:rsid w:val="003D06F5"/>
    <w:rsid w:val="003D628C"/>
    <w:rsid w:val="003D7B04"/>
    <w:rsid w:val="003F0185"/>
    <w:rsid w:val="003F5C87"/>
    <w:rsid w:val="00422D72"/>
    <w:rsid w:val="004425E7"/>
    <w:rsid w:val="004437DE"/>
    <w:rsid w:val="004500D7"/>
    <w:rsid w:val="0045638B"/>
    <w:rsid w:val="004619DC"/>
    <w:rsid w:val="00461FF5"/>
    <w:rsid w:val="00490144"/>
    <w:rsid w:val="004A107E"/>
    <w:rsid w:val="004A43B6"/>
    <w:rsid w:val="004C7950"/>
    <w:rsid w:val="004C7DE3"/>
    <w:rsid w:val="004D1495"/>
    <w:rsid w:val="004D59B2"/>
    <w:rsid w:val="004E1B31"/>
    <w:rsid w:val="004E21C7"/>
    <w:rsid w:val="004E6F14"/>
    <w:rsid w:val="00503A85"/>
    <w:rsid w:val="00503EC6"/>
    <w:rsid w:val="00506996"/>
    <w:rsid w:val="00546431"/>
    <w:rsid w:val="00550DDB"/>
    <w:rsid w:val="00554FCB"/>
    <w:rsid w:val="00562378"/>
    <w:rsid w:val="005661B1"/>
    <w:rsid w:val="00573F9E"/>
    <w:rsid w:val="00575D55"/>
    <w:rsid w:val="0057619C"/>
    <w:rsid w:val="00576FC8"/>
    <w:rsid w:val="00580144"/>
    <w:rsid w:val="00580FF2"/>
    <w:rsid w:val="005A3745"/>
    <w:rsid w:val="005A41F2"/>
    <w:rsid w:val="005B2296"/>
    <w:rsid w:val="005B4F10"/>
    <w:rsid w:val="005C5364"/>
    <w:rsid w:val="005D3D19"/>
    <w:rsid w:val="005D6920"/>
    <w:rsid w:val="00611EE5"/>
    <w:rsid w:val="006201DB"/>
    <w:rsid w:val="00647C01"/>
    <w:rsid w:val="00667172"/>
    <w:rsid w:val="00671B0D"/>
    <w:rsid w:val="00674749"/>
    <w:rsid w:val="006759A8"/>
    <w:rsid w:val="00683869"/>
    <w:rsid w:val="00684D13"/>
    <w:rsid w:val="00693415"/>
    <w:rsid w:val="006948AA"/>
    <w:rsid w:val="006C1486"/>
    <w:rsid w:val="006E7B95"/>
    <w:rsid w:val="006E7F9D"/>
    <w:rsid w:val="00702BE1"/>
    <w:rsid w:val="00705CBE"/>
    <w:rsid w:val="007106F2"/>
    <w:rsid w:val="0071230B"/>
    <w:rsid w:val="00720B8A"/>
    <w:rsid w:val="007214BD"/>
    <w:rsid w:val="00725EEE"/>
    <w:rsid w:val="007267F2"/>
    <w:rsid w:val="00734D0F"/>
    <w:rsid w:val="00741BA7"/>
    <w:rsid w:val="00773609"/>
    <w:rsid w:val="00774DF0"/>
    <w:rsid w:val="007759FE"/>
    <w:rsid w:val="007A0AA5"/>
    <w:rsid w:val="007A717B"/>
    <w:rsid w:val="007E0A16"/>
    <w:rsid w:val="007E1632"/>
    <w:rsid w:val="0080129F"/>
    <w:rsid w:val="008015DC"/>
    <w:rsid w:val="00832C0C"/>
    <w:rsid w:val="00833974"/>
    <w:rsid w:val="00834C93"/>
    <w:rsid w:val="00846183"/>
    <w:rsid w:val="00862977"/>
    <w:rsid w:val="00863D46"/>
    <w:rsid w:val="00866A54"/>
    <w:rsid w:val="008867C0"/>
    <w:rsid w:val="00896344"/>
    <w:rsid w:val="008A1C1F"/>
    <w:rsid w:val="008B0FC4"/>
    <w:rsid w:val="008D1A0A"/>
    <w:rsid w:val="008E28C1"/>
    <w:rsid w:val="008E54AC"/>
    <w:rsid w:val="008F7948"/>
    <w:rsid w:val="00901678"/>
    <w:rsid w:val="00912C3B"/>
    <w:rsid w:val="009149B8"/>
    <w:rsid w:val="00915CDE"/>
    <w:rsid w:val="009378D7"/>
    <w:rsid w:val="00945424"/>
    <w:rsid w:val="00982F51"/>
    <w:rsid w:val="009C1DB5"/>
    <w:rsid w:val="009D1F84"/>
    <w:rsid w:val="009D2A0B"/>
    <w:rsid w:val="009F6072"/>
    <w:rsid w:val="00A03C07"/>
    <w:rsid w:val="00A133D5"/>
    <w:rsid w:val="00A34FAC"/>
    <w:rsid w:val="00A36401"/>
    <w:rsid w:val="00A42943"/>
    <w:rsid w:val="00A51679"/>
    <w:rsid w:val="00A55E7B"/>
    <w:rsid w:val="00A66BD8"/>
    <w:rsid w:val="00A8524F"/>
    <w:rsid w:val="00A97FB8"/>
    <w:rsid w:val="00AD0031"/>
    <w:rsid w:val="00AD4041"/>
    <w:rsid w:val="00AE12E4"/>
    <w:rsid w:val="00AF0229"/>
    <w:rsid w:val="00AF0C38"/>
    <w:rsid w:val="00B05DD7"/>
    <w:rsid w:val="00B2449E"/>
    <w:rsid w:val="00B36F2D"/>
    <w:rsid w:val="00B410DD"/>
    <w:rsid w:val="00B5626F"/>
    <w:rsid w:val="00B67604"/>
    <w:rsid w:val="00B739BC"/>
    <w:rsid w:val="00BA7AD7"/>
    <w:rsid w:val="00BC4B9F"/>
    <w:rsid w:val="00BD0D82"/>
    <w:rsid w:val="00BD69EF"/>
    <w:rsid w:val="00BF29FA"/>
    <w:rsid w:val="00BF5212"/>
    <w:rsid w:val="00C14EFF"/>
    <w:rsid w:val="00C3089B"/>
    <w:rsid w:val="00C41F71"/>
    <w:rsid w:val="00C646B9"/>
    <w:rsid w:val="00C80622"/>
    <w:rsid w:val="00C84A88"/>
    <w:rsid w:val="00C96957"/>
    <w:rsid w:val="00CC3F0B"/>
    <w:rsid w:val="00CD02BF"/>
    <w:rsid w:val="00CE30F2"/>
    <w:rsid w:val="00CE4EB5"/>
    <w:rsid w:val="00CE5EEC"/>
    <w:rsid w:val="00CF44DF"/>
    <w:rsid w:val="00D229AF"/>
    <w:rsid w:val="00D41426"/>
    <w:rsid w:val="00D70BCC"/>
    <w:rsid w:val="00D7151D"/>
    <w:rsid w:val="00D724FF"/>
    <w:rsid w:val="00D858C2"/>
    <w:rsid w:val="00D859D8"/>
    <w:rsid w:val="00D85DBC"/>
    <w:rsid w:val="00D86B15"/>
    <w:rsid w:val="00DA0304"/>
    <w:rsid w:val="00DA7636"/>
    <w:rsid w:val="00DB138C"/>
    <w:rsid w:val="00DB471D"/>
    <w:rsid w:val="00DF67AF"/>
    <w:rsid w:val="00E11C2C"/>
    <w:rsid w:val="00E138DD"/>
    <w:rsid w:val="00E35127"/>
    <w:rsid w:val="00E47AE8"/>
    <w:rsid w:val="00E630E1"/>
    <w:rsid w:val="00E63A8E"/>
    <w:rsid w:val="00E775B8"/>
    <w:rsid w:val="00E821C6"/>
    <w:rsid w:val="00E87605"/>
    <w:rsid w:val="00EA414B"/>
    <w:rsid w:val="00ED19BB"/>
    <w:rsid w:val="00ED4208"/>
    <w:rsid w:val="00F12B94"/>
    <w:rsid w:val="00F16F4D"/>
    <w:rsid w:val="00F3071C"/>
    <w:rsid w:val="00F31AA1"/>
    <w:rsid w:val="00F36C0F"/>
    <w:rsid w:val="00F77B81"/>
    <w:rsid w:val="00F80856"/>
    <w:rsid w:val="00FA78DB"/>
    <w:rsid w:val="00FB5055"/>
    <w:rsid w:val="00FC5ED0"/>
    <w:rsid w:val="00FC6CE4"/>
    <w:rsid w:val="00FD148A"/>
    <w:rsid w:val="00FE0568"/>
    <w:rsid w:val="00FF2DAC"/>
    <w:rsid w:val="107F2DE1"/>
    <w:rsid w:val="17CE2358"/>
    <w:rsid w:val="208F4215"/>
    <w:rsid w:val="25C549C0"/>
    <w:rsid w:val="47DD5A99"/>
    <w:rsid w:val="55D56467"/>
    <w:rsid w:val="641C2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styleId="11">
    <w:name w:val="List Paragraph"/>
    <w:basedOn w:val="1"/>
    <w:qFormat/>
    <w:uiPriority w:val="34"/>
    <w:pPr>
      <w:ind w:firstLine="420" w:firstLineChars="200"/>
    </w:p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Unresolved Mention"/>
    <w:basedOn w:val="8"/>
    <w:semiHidden/>
    <w:unhideWhenUsed/>
    <w:qFormat/>
    <w:uiPriority w:val="99"/>
    <w:rPr>
      <w:color w:val="605E5C"/>
      <w:shd w:val="clear" w:color="auto" w:fill="E1DFDD"/>
    </w:rPr>
  </w:style>
  <w:style w:type="character" w:customStyle="1" w:styleId="15">
    <w:name w:val="日期 字符"/>
    <w:basedOn w:val="8"/>
    <w:link w:val="3"/>
    <w:semiHidden/>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2FA36D-8812-4D95-9C27-220F6CF21253}">
  <ds:schemaRefs/>
</ds:datastoreItem>
</file>

<file path=docProps/app.xml><?xml version="1.0" encoding="utf-8"?>
<Properties xmlns="http://schemas.openxmlformats.org/officeDocument/2006/extended-properties" xmlns:vt="http://schemas.openxmlformats.org/officeDocument/2006/docPropsVTypes">
  <Template>Normal</Template>
  <Pages>8</Pages>
  <Words>2689</Words>
  <Characters>2725</Characters>
  <Lines>21</Lines>
  <Paragraphs>6</Paragraphs>
  <TotalTime>2</TotalTime>
  <ScaleCrop>false</ScaleCrop>
  <LinksUpToDate>false</LinksUpToDate>
  <CharactersWithSpaces>2782</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2022-04-08T07:47:00Z</dcterms:created>
  <dc:creator>liu hang</dc:creator>
  <cp:lastModifiedBy>Administrator</cp:lastModifiedBy>
  <cp:lastPrinted>2022-04-08T09:05:00Z</cp:lastPrinted>
  <dcterms:modified xsi:type="dcterms:W3CDTF">2022-04-20T09:04:18Z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eyJoZGlkIjoiNTY2MDcxNjc1MDBmNzg1OWQzMDQzNjA3NmQ5OWRmMDkifQ==</vt:lpwstr>
  </property>
  <property fmtid="{D5CDD505-2E9C-101B-9397-08002B2CF9AE}" pid="3" name="KSOProductBuildVer">
    <vt:lpwstr>2052-11.1.0.11566</vt:lpwstr>
  </property>
  <property fmtid="{D5CDD505-2E9C-101B-9397-08002B2CF9AE}" pid="4" name="ICV">
    <vt:lpwstr>B71D8DC662DD47DE953B8766F2D03668</vt:lpwstr>
  </property>
</Properties>
</file>