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承德应用技术职业学院</w:t>
      </w:r>
      <w:bookmarkStart w:id="0" w:name="_GoBack"/>
      <w:r>
        <w:rPr>
          <w:rFonts w:hint="eastAsia"/>
          <w:b/>
          <w:bCs/>
          <w:sz w:val="32"/>
          <w:szCs w:val="40"/>
        </w:rPr>
        <w:t>信息</w:t>
      </w:r>
      <w:bookmarkEnd w:id="0"/>
      <w:r>
        <w:rPr>
          <w:rFonts w:hint="eastAsia"/>
          <w:b/>
          <w:bCs/>
          <w:sz w:val="32"/>
          <w:szCs w:val="40"/>
        </w:rPr>
        <w:t>公开目录</w:t>
      </w:r>
    </w:p>
    <w:tbl>
      <w:tblPr>
        <w:tblStyle w:val="2"/>
        <w:tblW w:w="9410" w:type="dxa"/>
        <w:tblInd w:w="-5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960"/>
        <w:gridCol w:w="4995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4"/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4"/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一级目录</w:t>
            </w:r>
          </w:p>
        </w:tc>
        <w:tc>
          <w:tcPr>
            <w:tcW w:w="4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4"/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公开内容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4"/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基本信息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学院基本情况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党政办公室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学院领导班子简介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内部管理体制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机构设置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学院章程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各项规章制度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教职工代表大会报告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学术委员会年度报告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学校发展规划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年度工作计划及重点工作安排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信息公开年度报告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教学质量信息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学科与专业设置、重点学科建设情况、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学院开设课程总门数、实践教学学分占总学分比例、选修课学分占总学分比例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毕业生就业质量年度报告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教学质量报告</w:t>
            </w:r>
          </w:p>
        </w:tc>
        <w:tc>
          <w:tcPr>
            <w:tcW w:w="172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人事师资信息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教师和其他专业技术人员数量及结构、专业技术职务等级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组织人事处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岗位设置管理和聘用办法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教师争议解决办法</w:t>
            </w:r>
          </w:p>
        </w:tc>
        <w:tc>
          <w:tcPr>
            <w:tcW w:w="172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招生考试信息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招生章程及特殊类型招生办法，分批次、分科类招生计划和录取规定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招生就业办公室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考生个人录取信息查询渠道和办法，分批次、分科类录取人数和录取最低分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招生咨询及考生申诉渠道，新生复查期间有关举报、调查及处理结果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8"/>
                <w:szCs w:val="28"/>
              </w:rPr>
              <w:t>5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学生管理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学籍管理、学位评定办法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学生工作处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学生申述途径与处理程序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促进毕业生就业的政策措施和指导服务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学生奖学金、助学金、学费减免、助学贷款与勤工俭学的申请与管理</w:t>
            </w:r>
          </w:p>
        </w:tc>
        <w:tc>
          <w:tcPr>
            <w:tcW w:w="172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财务、资产收费信息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收费项目、收费依据、收费标准及投诉方式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财务处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财务、资产管理制度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仪器设备、图书、药品等物资设备采购和重大基建工程的招投标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收支预算总表、收入预算表、支出预算、财政拨款支出决算表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学生管理服务信息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学籍管理办法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学生工作处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学生奖学金、助学金、学费减免、助学贷款、勤工俭学的申请与管理规定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学生奖励处罚办法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学生申诉办法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学风建设信息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学风建设机构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教务处、督导办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学术规范制度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学术不端行为查处机制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对外交流合作信息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合作办学情况</w:t>
            </w: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党政办公室、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招生就业办公室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校企合作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7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对外交流管理相关规定</w:t>
            </w: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7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应急处置、重大事件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自然灾害等突发事件的应急处理预案、预警信息和处置情况，涉及学校的重大事件的调查和处理情况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党政办公室、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保卫处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7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4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法律、法规和规章规定需要公开的其他事项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b/>
          <w:bCs/>
          <w:sz w:val="28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24F20"/>
    <w:rsid w:val="5FC57686"/>
    <w:rsid w:val="7A52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2020-10-20T06:52:00Z</dcterms:created>
  <dc:creator>朱亚涛</dc:creator>
  <cp:lastModifiedBy>朱亚涛</cp:lastModifiedBy>
  <dcterms:modified xsi:type="dcterms:W3CDTF">2020-10-20T06:53:57Z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