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spacing w:line="600" w:lineRule="exact"/>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pPr>
        <w:pStyle w:val="6"/>
        <w:pageBreakBefore w:val="0"/>
        <w:kinsoku/>
        <w:wordWrap/>
        <w:overflowPunct/>
        <w:topLinePunct w:val="0"/>
        <w:autoSpaceDE/>
        <w:autoSpaceDN/>
        <w:bidi w:val="0"/>
        <w:spacing w:line="600" w:lineRule="exact"/>
        <w:ind w:left="0" w:leftChars="0" w:firstLine="914" w:firstLineChars="198"/>
        <w:jc w:val="both"/>
        <w:textAlignment w:val="auto"/>
        <w:rPr>
          <w:rFonts w:ascii="方正小标宋简体" w:eastAsia="方正小标宋简体"/>
          <w:b w:val="0"/>
        </w:rPr>
      </w:pPr>
    </w:p>
    <w:p>
      <w:pPr>
        <w:pStyle w:val="6"/>
        <w:pageBreakBefore w:val="0"/>
        <w:kinsoku/>
        <w:wordWrap/>
        <w:overflowPunct/>
        <w:topLinePunct w:val="0"/>
        <w:autoSpaceDE/>
        <w:autoSpaceDN/>
        <w:bidi w:val="0"/>
        <w:spacing w:line="600" w:lineRule="exact"/>
        <w:ind w:left="0" w:leftChars="0" w:firstLine="0" w:firstLineChars="0"/>
        <w:jc w:val="center"/>
        <w:textAlignment w:val="auto"/>
        <w:rPr>
          <w:rFonts w:ascii="方正小标宋简体" w:eastAsia="方正小标宋简体"/>
          <w:b w:val="0"/>
        </w:rPr>
      </w:pPr>
      <w:r>
        <w:rPr>
          <w:rFonts w:ascii="方正小标宋简体" w:eastAsia="方正小标宋简体"/>
          <w:b w:val="0"/>
        </w:rPr>
        <w:t>中华职业教育社</w:t>
      </w:r>
      <w:r>
        <w:rPr>
          <w:rFonts w:hint="eastAsia" w:ascii="方正小标宋简体" w:eastAsia="方正小标宋简体"/>
          <w:b w:val="0"/>
        </w:rPr>
        <w:t>规划</w:t>
      </w:r>
      <w:r>
        <w:rPr>
          <w:rFonts w:ascii="方正小标宋简体" w:eastAsia="方正小标宋简体"/>
          <w:b w:val="0"/>
        </w:rPr>
        <w:t>课题管理办法</w:t>
      </w:r>
    </w:p>
    <w:p>
      <w:pPr>
        <w:pageBreakBefore w:val="0"/>
        <w:kinsoku/>
        <w:wordWrap/>
        <w:overflowPunct/>
        <w:topLinePunct w:val="0"/>
        <w:autoSpaceDE/>
        <w:autoSpaceDN/>
        <w:bidi w:val="0"/>
        <w:spacing w:line="600" w:lineRule="exact"/>
        <w:ind w:left="0" w:leftChars="0" w:firstLine="0" w:firstLineChars="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（2025年修订）</w:t>
      </w:r>
    </w:p>
    <w:p>
      <w:pPr>
        <w:pageBreakBefore w:val="0"/>
        <w:widowControl/>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eastAsia="仿宋"/>
          <w:b/>
          <w:sz w:val="32"/>
          <w:szCs w:val="32"/>
        </w:rPr>
      </w:pPr>
    </w:p>
    <w:p>
      <w:pPr>
        <w:pageBreakBefore w:val="0"/>
        <w:widowControl/>
        <w:numPr>
          <w:ilvl w:val="0"/>
          <w:numId w:val="1"/>
        </w:numPr>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eastAsia="黑体"/>
          <w:bCs/>
          <w:sz w:val="32"/>
          <w:szCs w:val="32"/>
        </w:rPr>
      </w:pPr>
      <w:r>
        <w:rPr>
          <w:rFonts w:eastAsia="黑体"/>
          <w:bCs/>
          <w:sz w:val="32"/>
          <w:szCs w:val="32"/>
        </w:rPr>
        <w:t>总 则</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eastAsia="黑体"/>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hint="eastAsia" w:eastAsia="黑体"/>
          <w:sz w:val="32"/>
          <w:szCs w:val="32"/>
        </w:rPr>
        <w:t>第一条</w:t>
      </w:r>
      <w:r>
        <w:rPr>
          <w:rFonts w:hint="eastAsia" w:eastAsia="黑体"/>
          <w:sz w:val="32"/>
          <w:szCs w:val="32"/>
          <w:lang w:val="en-US" w:eastAsia="zh-CN"/>
        </w:rPr>
        <w:t xml:space="preserve"> </w:t>
      </w:r>
      <w:r>
        <w:rPr>
          <w:rFonts w:hint="eastAsia" w:eastAsia="仿宋"/>
          <w:sz w:val="32"/>
          <w:szCs w:val="32"/>
        </w:rPr>
        <w:t>为</w:t>
      </w:r>
      <w:r>
        <w:rPr>
          <w:rFonts w:hint="eastAsia" w:eastAsia="仿宋"/>
          <w:sz w:val="32"/>
          <w:szCs w:val="32"/>
          <w:lang w:val="en-US" w:eastAsia="zh-CN"/>
        </w:rPr>
        <w:t>加强和</w:t>
      </w:r>
      <w:r>
        <w:rPr>
          <w:rFonts w:hint="eastAsia" w:eastAsia="仿宋"/>
          <w:sz w:val="32"/>
          <w:szCs w:val="32"/>
        </w:rPr>
        <w:t>规范中华职业教育社</w:t>
      </w:r>
      <w:r>
        <w:rPr>
          <w:rFonts w:hint="eastAsia" w:eastAsia="仿宋"/>
          <w:sz w:val="32"/>
          <w:szCs w:val="32"/>
          <w:lang w:val="en-US" w:eastAsia="zh-CN"/>
        </w:rPr>
        <w:t>规划</w:t>
      </w:r>
      <w:r>
        <w:rPr>
          <w:rFonts w:hint="eastAsia" w:eastAsia="仿宋"/>
          <w:sz w:val="32"/>
          <w:szCs w:val="32"/>
        </w:rPr>
        <w:t>课题</w:t>
      </w:r>
      <w:r>
        <w:rPr>
          <w:rFonts w:hint="eastAsia" w:eastAsia="仿宋"/>
          <w:sz w:val="32"/>
          <w:szCs w:val="32"/>
          <w:lang w:val="en-US" w:eastAsia="zh-CN"/>
        </w:rPr>
        <w:t>工作</w:t>
      </w:r>
      <w:r>
        <w:rPr>
          <w:rFonts w:hint="eastAsia" w:eastAsia="仿宋"/>
          <w:sz w:val="32"/>
          <w:szCs w:val="32"/>
        </w:rPr>
        <w:t>，</w:t>
      </w:r>
      <w:r>
        <w:rPr>
          <w:rFonts w:hint="eastAsia" w:ascii="仿宋" w:hAnsi="仿宋" w:eastAsia="仿宋"/>
          <w:sz w:val="32"/>
          <w:szCs w:val="32"/>
        </w:rPr>
        <w:t>推动新时代职业教育理论与实践创新，</w:t>
      </w:r>
      <w:r>
        <w:rPr>
          <w:rFonts w:hint="eastAsia" w:ascii="仿宋" w:hAnsi="仿宋" w:eastAsia="仿宋"/>
          <w:sz w:val="32"/>
          <w:szCs w:val="32"/>
          <w:lang w:val="en-US" w:eastAsia="zh-CN"/>
        </w:rPr>
        <w:t>助力职业教育高质量发展、推进职业教育领域的统战工作，加强职业教育理论研究和建言献策，特</w:t>
      </w:r>
      <w:r>
        <w:rPr>
          <w:rFonts w:hint="eastAsia" w:ascii="仿宋" w:hAnsi="仿宋" w:eastAsia="仿宋"/>
          <w:sz w:val="32"/>
          <w:szCs w:val="32"/>
        </w:rPr>
        <w:t>制定本办法。</w:t>
      </w:r>
    </w:p>
    <w:p>
      <w:pPr>
        <w:pageBreakBefore w:val="0"/>
        <w:kinsoku/>
        <w:wordWrap/>
        <w:overflowPunct/>
        <w:topLinePunct w:val="0"/>
        <w:autoSpaceDE/>
        <w:autoSpaceDN/>
        <w:bidi w:val="0"/>
        <w:spacing w:line="600" w:lineRule="exact"/>
        <w:ind w:left="0" w:leftChars="0" w:firstLine="676" w:firstLineChars="198"/>
        <w:textAlignment w:val="auto"/>
        <w:rPr>
          <w:rFonts w:ascii="仿宋" w:hAnsi="仿宋" w:eastAsia="仿宋"/>
          <w:sz w:val="32"/>
          <w:szCs w:val="32"/>
        </w:rPr>
      </w:pPr>
      <w:r>
        <w:rPr>
          <w:rFonts w:hint="eastAsia" w:eastAsia="黑体"/>
          <w:sz w:val="32"/>
          <w:szCs w:val="32"/>
        </w:rPr>
        <w:t>第二条</w:t>
      </w:r>
      <w:r>
        <w:rPr>
          <w:rFonts w:hint="eastAsia" w:eastAsia="黑体"/>
          <w:sz w:val="32"/>
          <w:szCs w:val="32"/>
          <w:lang w:val="en-US" w:eastAsia="zh-CN"/>
        </w:rPr>
        <w:t xml:space="preserve"> </w:t>
      </w:r>
      <w:r>
        <w:rPr>
          <w:rFonts w:hint="eastAsia" w:ascii="Times New Roman" w:hAnsi="Times New Roman" w:eastAsia="仿宋" w:cs="Times New Roman"/>
          <w:sz w:val="32"/>
          <w:szCs w:val="32"/>
          <w:lang w:val="en-US" w:eastAsia="zh-CN"/>
        </w:rPr>
        <w:t>中华职业教育社</w:t>
      </w:r>
      <w:r>
        <w:rPr>
          <w:rFonts w:hint="eastAsia" w:eastAsia="仿宋" w:cs="Times New Roman"/>
          <w:sz w:val="32"/>
          <w:szCs w:val="32"/>
          <w:lang w:val="en-US" w:eastAsia="zh-CN"/>
        </w:rPr>
        <w:t>规划</w:t>
      </w:r>
      <w:r>
        <w:rPr>
          <w:rFonts w:hint="eastAsia" w:ascii="Times New Roman" w:hAnsi="Times New Roman" w:eastAsia="仿宋" w:cs="Times New Roman"/>
          <w:sz w:val="32"/>
          <w:szCs w:val="32"/>
          <w:lang w:val="en-US" w:eastAsia="zh-CN"/>
        </w:rPr>
        <w:t>课题工作坚持以习近平新时代中国特色社会主义思想为指导，</w:t>
      </w:r>
      <w:r>
        <w:rPr>
          <w:rFonts w:hint="eastAsia" w:ascii="仿宋" w:hAnsi="仿宋" w:eastAsia="仿宋"/>
          <w:sz w:val="32"/>
          <w:szCs w:val="32"/>
        </w:rPr>
        <w:t>深入研究当前我国职业教育改革和发展中的理论与现实问题，重点加强对统一战线及职业教育创新发展具有全局性、战略性、前瞻性的重大理论和现实问题的研究，突出成果转化运用，</w:t>
      </w:r>
      <w:r>
        <w:rPr>
          <w:rFonts w:hint="eastAsia" w:ascii="仿宋" w:hAnsi="仿宋" w:eastAsia="仿宋" w:cs="Times New Roman"/>
          <w:sz w:val="32"/>
          <w:szCs w:val="32"/>
        </w:rPr>
        <w:t>为党和国家制定政策方针提供支撑。</w:t>
      </w:r>
    </w:p>
    <w:p>
      <w:pPr>
        <w:pageBreakBefore w:val="0"/>
        <w:widowControl/>
        <w:tabs>
          <w:tab w:val="left" w:pos="8647"/>
        </w:tabs>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黑体"/>
          <w:sz w:val="32"/>
          <w:szCs w:val="32"/>
        </w:rPr>
        <w:t>第三条</w:t>
      </w:r>
      <w:r>
        <w:rPr>
          <w:rFonts w:hint="eastAsia" w:eastAsia="黑体"/>
          <w:sz w:val="32"/>
          <w:szCs w:val="32"/>
          <w:lang w:val="en-US" w:eastAsia="zh-CN"/>
        </w:rPr>
        <w:t xml:space="preserve"> </w:t>
      </w:r>
      <w:r>
        <w:rPr>
          <w:rFonts w:eastAsia="仿宋"/>
          <w:sz w:val="32"/>
          <w:szCs w:val="32"/>
        </w:rPr>
        <w:t>中华职业教育社研究部</w:t>
      </w:r>
      <w:r>
        <w:rPr>
          <w:rFonts w:hint="eastAsia" w:eastAsia="仿宋"/>
          <w:sz w:val="32"/>
          <w:szCs w:val="32"/>
          <w:lang w:val="en-US" w:eastAsia="zh-CN"/>
        </w:rPr>
        <w:t>负责</w:t>
      </w:r>
      <w:r>
        <w:rPr>
          <w:rFonts w:eastAsia="仿宋"/>
          <w:sz w:val="32"/>
          <w:szCs w:val="32"/>
        </w:rPr>
        <w:t>统筹</w:t>
      </w:r>
      <w:r>
        <w:rPr>
          <w:rFonts w:hint="eastAsia" w:eastAsia="仿宋"/>
          <w:sz w:val="32"/>
          <w:szCs w:val="32"/>
          <w:lang w:val="en-US" w:eastAsia="zh-CN"/>
        </w:rPr>
        <w:t>组织</w:t>
      </w:r>
      <w:r>
        <w:rPr>
          <w:rFonts w:eastAsia="仿宋"/>
          <w:sz w:val="32"/>
          <w:szCs w:val="32"/>
        </w:rPr>
        <w:t>课题的规划、立项</w:t>
      </w:r>
      <w:r>
        <w:rPr>
          <w:rFonts w:hint="eastAsia" w:eastAsia="仿宋"/>
          <w:sz w:val="32"/>
          <w:szCs w:val="32"/>
          <w:lang w:eastAsia="zh-CN"/>
        </w:rPr>
        <w:t>、</w:t>
      </w:r>
      <w:r>
        <w:rPr>
          <w:rFonts w:hint="eastAsia" w:eastAsia="仿宋"/>
          <w:sz w:val="32"/>
          <w:szCs w:val="32"/>
          <w:lang w:val="en-US" w:eastAsia="zh-CN"/>
        </w:rPr>
        <w:t>评审和验收</w:t>
      </w:r>
      <w:r>
        <w:rPr>
          <w:rFonts w:eastAsia="仿宋"/>
          <w:sz w:val="32"/>
          <w:szCs w:val="32"/>
        </w:rPr>
        <w:t>等管理工作</w:t>
      </w:r>
      <w:r>
        <w:rPr>
          <w:rFonts w:hint="eastAsia" w:eastAsia="仿宋"/>
          <w:sz w:val="32"/>
          <w:szCs w:val="32"/>
        </w:rPr>
        <w:t>。</w:t>
      </w:r>
    </w:p>
    <w:p>
      <w:pPr>
        <w:pageBreakBefore w:val="0"/>
        <w:widowControl/>
        <w:tabs>
          <w:tab w:val="left" w:pos="8647"/>
        </w:tabs>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p>
    <w:p>
      <w:pPr>
        <w:pageBreakBefore w:val="0"/>
        <w:widowControl/>
        <w:numPr>
          <w:ilvl w:val="0"/>
          <w:numId w:val="1"/>
        </w:numPr>
        <w:kinsoku/>
        <w:wordWrap/>
        <w:overflowPunct/>
        <w:topLinePunct w:val="0"/>
        <w:autoSpaceDE/>
        <w:autoSpaceDN/>
        <w:bidi w:val="0"/>
        <w:adjustRightInd w:val="0"/>
        <w:snapToGrid w:val="0"/>
        <w:spacing w:line="600" w:lineRule="exact"/>
        <w:ind w:left="17" w:leftChars="0" w:hanging="17" w:hangingChars="5"/>
        <w:jc w:val="center"/>
        <w:textAlignment w:val="auto"/>
        <w:outlineLvl w:val="0"/>
        <w:rPr>
          <w:rFonts w:eastAsia="黑体"/>
          <w:bCs/>
          <w:sz w:val="32"/>
          <w:szCs w:val="32"/>
        </w:rPr>
      </w:pPr>
      <w:r>
        <w:rPr>
          <w:rFonts w:eastAsia="黑体"/>
          <w:bCs/>
          <w:sz w:val="32"/>
          <w:szCs w:val="32"/>
        </w:rPr>
        <w:t>课题设置</w:t>
      </w:r>
      <w:r>
        <w:rPr>
          <w:rFonts w:hint="eastAsia" w:eastAsia="黑体"/>
          <w:bCs/>
          <w:sz w:val="32"/>
          <w:szCs w:val="32"/>
          <w:lang w:val="en-US" w:eastAsia="zh-CN"/>
        </w:rPr>
        <w:t>与申报组织</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黑体"/>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hint="eastAsia" w:eastAsia="仿宋"/>
          <w:sz w:val="32"/>
          <w:szCs w:val="32"/>
        </w:rPr>
        <w:t>规划</w:t>
      </w:r>
      <w:r>
        <w:rPr>
          <w:rFonts w:eastAsia="仿宋"/>
          <w:sz w:val="32"/>
          <w:szCs w:val="32"/>
        </w:rPr>
        <w:t>课题一般设立重大、重点和一般三类</w:t>
      </w:r>
      <w:r>
        <w:rPr>
          <w:rFonts w:hint="eastAsia" w:eastAsia="仿宋"/>
          <w:sz w:val="32"/>
          <w:szCs w:val="32"/>
        </w:rPr>
        <w:t>。</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仿宋"/>
          <w:sz w:val="32"/>
          <w:szCs w:val="32"/>
        </w:rPr>
        <w:t>（一）</w:t>
      </w:r>
      <w:r>
        <w:rPr>
          <w:rFonts w:eastAsia="仿宋"/>
          <w:sz w:val="32"/>
          <w:szCs w:val="32"/>
        </w:rPr>
        <w:t>重大课题</w:t>
      </w:r>
      <w:r>
        <w:rPr>
          <w:rFonts w:hint="eastAsia" w:eastAsia="仿宋"/>
          <w:sz w:val="32"/>
          <w:szCs w:val="32"/>
        </w:rPr>
        <w:t>：围绕国家中心工作及职业教育</w:t>
      </w:r>
      <w:r>
        <w:rPr>
          <w:rFonts w:eastAsia="仿宋"/>
          <w:sz w:val="32"/>
          <w:szCs w:val="32"/>
        </w:rPr>
        <w:t>改革发展实践的重大战略性决策问题，开展前瞻性、综合性、实证性调研分析及比较研究</w:t>
      </w:r>
      <w:r>
        <w:rPr>
          <w:rFonts w:hint="eastAsia" w:eastAsia="仿宋"/>
          <w:sz w:val="32"/>
          <w:szCs w:val="32"/>
        </w:rPr>
        <w:t>。</w:t>
      </w:r>
      <w:r>
        <w:rPr>
          <w:rFonts w:eastAsia="仿宋"/>
          <w:sz w:val="32"/>
          <w:szCs w:val="32"/>
        </w:rPr>
        <w:t xml:space="preserve">研究成果具有决策咨询及实践应用价值。 </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仿宋"/>
          <w:sz w:val="32"/>
          <w:szCs w:val="32"/>
        </w:rPr>
        <w:t>（二）重点课题：针对职业教育改革发展实践中亟需解决的现实问题，围绕中华职业教育社重点业务方向，开展以问题为导向的针对性研究。研究成果需具备较强的实践应用价值。</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仿宋"/>
          <w:sz w:val="32"/>
          <w:szCs w:val="32"/>
        </w:rPr>
        <w:t>（三）一般课题：着重围绕职业学校教学改革的实际需求，开展多样化、个性化、特色化的项目研究。研究成果旨在推动职业学校教育教学改革创新和发展</w:t>
      </w:r>
      <w:r>
        <w:rPr>
          <w:rFonts w:eastAsia="仿宋"/>
          <w:sz w:val="32"/>
          <w:szCs w:val="32"/>
        </w:rPr>
        <w:t>。</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申报组织工作一般每年一次，课题面向全国职业院校、高等学校、职业教育研究机构、各级中华职业教育社和各有关单位研究人员。通常在每年上半年公开发布申报通知。课题受理期限一般为申报通知发布后的</w:t>
      </w:r>
      <w:r>
        <w:rPr>
          <w:rFonts w:hint="eastAsia" w:eastAsia="仿宋"/>
          <w:sz w:val="32"/>
          <w:szCs w:val="32"/>
        </w:rPr>
        <w:t>1</w:t>
      </w:r>
      <w:r>
        <w:rPr>
          <w:rFonts w:hint="eastAsia" w:ascii="仿宋" w:hAnsi="仿宋" w:eastAsia="仿宋"/>
          <w:sz w:val="32"/>
          <w:szCs w:val="32"/>
        </w:rPr>
        <w:t>～</w:t>
      </w:r>
      <w:r>
        <w:rPr>
          <w:rFonts w:hint="eastAsia" w:eastAsia="仿宋"/>
          <w:sz w:val="32"/>
          <w:szCs w:val="32"/>
        </w:rPr>
        <w:t>2</w:t>
      </w:r>
      <w:r>
        <w:rPr>
          <w:rFonts w:eastAsia="仿宋"/>
          <w:sz w:val="32"/>
          <w:szCs w:val="32"/>
        </w:rPr>
        <w:t>个月，具体以申报通知为准。</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黑体"/>
          <w:sz w:val="32"/>
          <w:szCs w:val="32"/>
        </w:rPr>
        <w:t>第</w:t>
      </w:r>
      <w:r>
        <w:rPr>
          <w:rFonts w:hint="eastAsia" w:eastAsia="黑体"/>
          <w:sz w:val="32"/>
          <w:szCs w:val="32"/>
          <w:lang w:val="en-US" w:eastAsia="zh-CN"/>
        </w:rPr>
        <w:t>六</w:t>
      </w:r>
      <w:r>
        <w:rPr>
          <w:rFonts w:hint="eastAsia" w:eastAsia="黑体"/>
          <w:sz w:val="32"/>
          <w:szCs w:val="32"/>
        </w:rPr>
        <w:t>条</w:t>
      </w:r>
      <w:r>
        <w:rPr>
          <w:rFonts w:hint="eastAsia" w:eastAsia="仿宋"/>
          <w:sz w:val="32"/>
          <w:szCs w:val="32"/>
        </w:rPr>
        <w:t xml:space="preserve"> 围绕国家发展大局，根据总社工作的紧迫需求开展的应急课题，将以委托的方式</w:t>
      </w:r>
      <w:r>
        <w:rPr>
          <w:rFonts w:eastAsia="仿宋"/>
          <w:sz w:val="32"/>
          <w:szCs w:val="32"/>
        </w:rPr>
        <w:t>予以立项。</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eastAsia="仿宋"/>
          <w:sz w:val="32"/>
          <w:szCs w:val="32"/>
        </w:rPr>
        <w:t>课题</w:t>
      </w:r>
      <w:r>
        <w:rPr>
          <w:rFonts w:hint="eastAsia" w:eastAsia="仿宋"/>
          <w:sz w:val="32"/>
          <w:szCs w:val="32"/>
        </w:rPr>
        <w:t>负责人</w:t>
      </w:r>
      <w:r>
        <w:rPr>
          <w:rFonts w:eastAsia="仿宋"/>
          <w:sz w:val="32"/>
          <w:szCs w:val="32"/>
        </w:rPr>
        <w:t>应符合以下条件：</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 xml:space="preserve">（一）遵守中华人民共和国宪法和法律； </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（二）具有独立开展研究和组织开展研究的能力，能够承担实质性研究工作。</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lang w:eastAsia="zh-CN"/>
        </w:rPr>
      </w:pPr>
      <w:r>
        <w:rPr>
          <w:rFonts w:eastAsia="仿宋"/>
          <w:sz w:val="32"/>
          <w:szCs w:val="32"/>
        </w:rPr>
        <w:t>（三）</w:t>
      </w:r>
      <w:r>
        <w:rPr>
          <w:rFonts w:hint="eastAsia" w:ascii="仿宋" w:hAnsi="仿宋" w:eastAsia="仿宋"/>
          <w:sz w:val="32"/>
          <w:szCs w:val="32"/>
        </w:rPr>
        <w:t>重大课题负责人须具有正高级专业技术职称</w:t>
      </w:r>
      <w:r>
        <w:rPr>
          <w:rFonts w:hint="eastAsia" w:ascii="仿宋" w:hAnsi="仿宋" w:eastAsia="仿宋"/>
          <w:sz w:val="32"/>
          <w:szCs w:val="32"/>
          <w:lang w:eastAsia="zh-CN"/>
        </w:rPr>
        <w:t>（</w:t>
      </w:r>
      <w:r>
        <w:rPr>
          <w:rFonts w:hint="eastAsia" w:ascii="仿宋" w:hAnsi="仿宋" w:eastAsia="仿宋"/>
          <w:sz w:val="32"/>
          <w:szCs w:val="32"/>
          <w:lang w:val="en-US" w:eastAsia="zh-CN"/>
        </w:rPr>
        <w:t>职务</w:t>
      </w:r>
      <w:r>
        <w:rPr>
          <w:rFonts w:hint="eastAsia" w:ascii="仿宋" w:hAnsi="仿宋" w:eastAsia="仿宋"/>
          <w:sz w:val="32"/>
          <w:szCs w:val="32"/>
          <w:lang w:eastAsia="zh-CN"/>
        </w:rPr>
        <w:t>）；</w:t>
      </w:r>
      <w:r>
        <w:rPr>
          <w:rFonts w:hint="eastAsia" w:ascii="仿宋" w:hAnsi="仿宋" w:eastAsia="仿宋"/>
          <w:sz w:val="32"/>
          <w:szCs w:val="32"/>
        </w:rPr>
        <w:t>重点课题负责人须具有副高级以上专业技术职称</w:t>
      </w:r>
      <w:r>
        <w:rPr>
          <w:rFonts w:hint="eastAsia" w:ascii="仿宋" w:hAnsi="仿宋" w:eastAsia="仿宋"/>
          <w:sz w:val="32"/>
          <w:szCs w:val="32"/>
          <w:lang w:eastAsia="zh-CN"/>
        </w:rPr>
        <w:t>（</w:t>
      </w:r>
      <w:r>
        <w:rPr>
          <w:rFonts w:hint="eastAsia" w:ascii="仿宋" w:hAnsi="仿宋" w:eastAsia="仿宋"/>
          <w:sz w:val="32"/>
          <w:szCs w:val="32"/>
          <w:lang w:val="en-US" w:eastAsia="zh-CN"/>
        </w:rPr>
        <w:t>职务</w:t>
      </w:r>
      <w:r>
        <w:rPr>
          <w:rFonts w:hint="eastAsia" w:ascii="仿宋" w:hAnsi="仿宋" w:eastAsia="仿宋"/>
          <w:sz w:val="32"/>
          <w:szCs w:val="32"/>
          <w:lang w:eastAsia="zh-CN"/>
        </w:rPr>
        <w:t>）</w:t>
      </w:r>
      <w:r>
        <w:rPr>
          <w:rFonts w:hint="eastAsia" w:ascii="仿宋" w:hAnsi="仿宋" w:eastAsia="仿宋"/>
          <w:sz w:val="32"/>
          <w:szCs w:val="32"/>
        </w:rPr>
        <w:t>或博士学位；一般课题负责人须具有中级以上专业技术职务</w:t>
      </w:r>
      <w:r>
        <w:rPr>
          <w:rFonts w:hint="eastAsia" w:ascii="仿宋" w:hAnsi="仿宋" w:eastAsia="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eastAsia="仿宋"/>
          <w:sz w:val="32"/>
          <w:szCs w:val="32"/>
        </w:rPr>
        <w:t>（四）</w:t>
      </w:r>
      <w:r>
        <w:rPr>
          <w:rFonts w:hint="eastAsia" w:ascii="仿宋" w:hAnsi="仿宋" w:eastAsia="仿宋"/>
          <w:sz w:val="32"/>
          <w:szCs w:val="32"/>
        </w:rPr>
        <w:t>课题</w:t>
      </w:r>
      <w:r>
        <w:rPr>
          <w:rFonts w:hint="eastAsia" w:ascii="Times New Roman" w:hAnsi="Times New Roman" w:eastAsia="仿宋" w:cs="Times New Roman"/>
          <w:sz w:val="32"/>
          <w:szCs w:val="32"/>
          <w:lang w:val="en-US" w:eastAsia="zh-CN"/>
        </w:rPr>
        <w:t>负责人每次只能申报一个课题，且不能作为课题组成员参与同类其他课题的申请，已获得本研究立项尚未结题者，不能申报新的课题。</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课题立项后，课题负责人原则上不允许变更，课题组成员变更原则上不能超过 1/3。</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（五）课题负责人须具有较高的理论素养和研究能力，能全程组织和指导课题实施，参与实质性研究工作。</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rPr>
      </w:pPr>
      <w:r>
        <w:rPr>
          <w:rFonts w:hint="eastAsia" w:ascii="Times New Roman" w:hAnsi="Times New Roman" w:eastAsia="仿宋" w:cs="Times New Roman"/>
          <w:sz w:val="32"/>
          <w:szCs w:val="32"/>
          <w:lang w:val="en-US" w:eastAsia="zh-CN"/>
        </w:rPr>
        <w:t>（六）课题组应由至少3名成员组成，成员应具备课题研究所对应的专业背景、业务水平、研究能力。</w:t>
      </w:r>
    </w:p>
    <w:p>
      <w:pPr>
        <w:pageBreakBefore w:val="0"/>
        <w:kinsoku/>
        <w:wordWrap/>
        <w:overflowPunct/>
        <w:topLinePunct w:val="0"/>
        <w:autoSpaceDE/>
        <w:autoSpaceDN/>
        <w:bidi w:val="0"/>
        <w:snapToGrid w:val="0"/>
        <w:spacing w:line="600" w:lineRule="exact"/>
        <w:ind w:left="0" w:leftChars="0" w:firstLine="676" w:firstLineChars="198"/>
        <w:textAlignment w:val="auto"/>
        <w:rPr>
          <w:rFonts w:eastAsia="仿宋"/>
          <w:sz w:val="32"/>
          <w:szCs w:val="32"/>
        </w:rPr>
      </w:pPr>
      <w:r>
        <w:rPr>
          <w:rFonts w:eastAsia="仿宋"/>
          <w:sz w:val="32"/>
          <w:szCs w:val="32"/>
        </w:rPr>
        <w:t>中华职业教育社各级组织、行业企业等参与课题申报，课题负责人条件可适当放宽。</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八</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课题负责人应根据</w:t>
      </w:r>
      <w:r>
        <w:rPr>
          <w:rFonts w:hint="eastAsia" w:eastAsia="仿宋"/>
          <w:sz w:val="32"/>
          <w:szCs w:val="32"/>
        </w:rPr>
        <w:t>课题通知</w:t>
      </w:r>
      <w:r>
        <w:rPr>
          <w:rFonts w:eastAsia="仿宋"/>
          <w:sz w:val="32"/>
          <w:szCs w:val="32"/>
        </w:rPr>
        <w:t>和申报书的要求，如实填写申报材料，由所在单位按本办法规定及相关通知要求进行审查、签署意见，并为立项课题提供必要的经费、设施设备、信息资料等研究保障条件。</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课题负责人应严格遵守学术道德和学术规范，严禁将其他已立项或结题课题重新包装进行申报。</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九</w:t>
      </w:r>
      <w:r>
        <w:rPr>
          <w:rFonts w:eastAsia="黑体"/>
          <w:sz w:val="32"/>
          <w:szCs w:val="32"/>
        </w:rPr>
        <w:t>条</w:t>
      </w:r>
      <w:r>
        <w:rPr>
          <w:rFonts w:eastAsia="仿宋"/>
          <w:sz w:val="32"/>
          <w:szCs w:val="32"/>
        </w:rPr>
        <w:t xml:space="preserve"> 课题研究周期原则上为1年。确有需要延长研究期限的，可提前申请延期</w:t>
      </w:r>
      <w:r>
        <w:rPr>
          <w:rFonts w:hint="eastAsia" w:eastAsia="仿宋"/>
          <w:sz w:val="32"/>
          <w:szCs w:val="32"/>
        </w:rPr>
        <w:t>半</w:t>
      </w:r>
      <w:r>
        <w:rPr>
          <w:rFonts w:eastAsia="仿宋"/>
          <w:sz w:val="32"/>
          <w:szCs w:val="32"/>
        </w:rPr>
        <w:t>年。逾期未申请延期或延期后仍不结题者，按撤项处理。</w:t>
      </w:r>
    </w:p>
    <w:p>
      <w:pPr>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center"/>
        <w:textAlignment w:val="auto"/>
        <w:outlineLvl w:val="0"/>
        <w:rPr>
          <w:rFonts w:hint="eastAsia" w:ascii="Times New Roman" w:hAnsi="Times New Roman" w:eastAsia="黑体" w:cs="Times New Roman"/>
          <w:bCs/>
          <w:sz w:val="32"/>
          <w:szCs w:val="32"/>
        </w:rPr>
      </w:pPr>
    </w:p>
    <w:p>
      <w:pPr>
        <w:pageBreakBefore w:val="0"/>
        <w:widowControl/>
        <w:numPr>
          <w:ilvl w:val="0"/>
          <w:numId w:val="0"/>
        </w:numPr>
        <w:kinsoku/>
        <w:wordWrap/>
        <w:overflowPunct/>
        <w:topLinePunct w:val="0"/>
        <w:autoSpaceDE/>
        <w:autoSpaceDN/>
        <w:bidi w:val="0"/>
        <w:adjustRightInd w:val="0"/>
        <w:snapToGrid w:val="0"/>
        <w:spacing w:line="600" w:lineRule="exact"/>
        <w:ind w:left="17" w:leftChars="0" w:hanging="17" w:hangingChars="5"/>
        <w:jc w:val="center"/>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三</w:t>
      </w:r>
      <w:r>
        <w:rPr>
          <w:rFonts w:hint="eastAsia" w:ascii="Times New Roman" w:hAnsi="Times New Roman" w:eastAsia="黑体" w:cs="Times New Roman"/>
          <w:bCs/>
          <w:sz w:val="32"/>
          <w:szCs w:val="32"/>
        </w:rPr>
        <w:t xml:space="preserve">章 </w:t>
      </w:r>
      <w:r>
        <w:rPr>
          <w:rFonts w:hint="eastAsia" w:ascii="Times New Roman" w:hAnsi="Times New Roman" w:eastAsia="黑体" w:cs="Times New Roman"/>
          <w:bCs/>
          <w:sz w:val="32"/>
          <w:szCs w:val="32"/>
          <w:lang w:val="en-US" w:eastAsia="zh-CN"/>
        </w:rPr>
        <w:t>课题立项与</w:t>
      </w:r>
      <w:r>
        <w:rPr>
          <w:rFonts w:hint="eastAsia" w:ascii="Times New Roman" w:hAnsi="Times New Roman" w:eastAsia="黑体" w:cs="Times New Roman"/>
          <w:bCs/>
          <w:sz w:val="32"/>
          <w:szCs w:val="32"/>
        </w:rPr>
        <w:t>日常管理</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黑体" w:cs="Times New Roman"/>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ascii="Times New Roman" w:hAnsi="Times New Roman" w:eastAsia="仿宋" w:cs="Times New Roman"/>
          <w:sz w:val="32"/>
          <w:szCs w:val="32"/>
        </w:rPr>
      </w:pPr>
      <w:r>
        <w:rPr>
          <w:rFonts w:hint="eastAsia" w:ascii="Times New Roman" w:hAnsi="Times New Roman" w:eastAsia="黑体" w:cs="Times New Roman"/>
          <w:sz w:val="32"/>
          <w:szCs w:val="32"/>
        </w:rPr>
        <w:t>第十条</w:t>
      </w:r>
      <w:r>
        <w:rPr>
          <w:rFonts w:hint="eastAsia" w:ascii="Times New Roman" w:hAnsi="Times New Roman" w:eastAsia="黑体" w:cs="Times New Roman"/>
          <w:sz w:val="32"/>
          <w:szCs w:val="32"/>
          <w:lang w:val="en-US" w:eastAsia="zh-CN"/>
        </w:rPr>
        <w:t xml:space="preserve"> </w:t>
      </w:r>
      <w:r>
        <w:rPr>
          <w:rFonts w:ascii="Times New Roman" w:hAnsi="Times New Roman" w:eastAsia="仿宋" w:cs="Times New Roman"/>
          <w:sz w:val="32"/>
          <w:szCs w:val="32"/>
        </w:rPr>
        <w:t>课题申报评审工作实行同行评审、择优支持的机制，其程序为资格审查、</w:t>
      </w:r>
      <w:r>
        <w:rPr>
          <w:rFonts w:hint="eastAsia" w:ascii="Times New Roman" w:hAnsi="Times New Roman" w:eastAsia="仿宋" w:cs="Times New Roman"/>
          <w:sz w:val="32"/>
          <w:szCs w:val="32"/>
        </w:rPr>
        <w:t>专家</w:t>
      </w:r>
      <w:r>
        <w:rPr>
          <w:rFonts w:ascii="Times New Roman" w:hAnsi="Times New Roman" w:eastAsia="仿宋" w:cs="Times New Roman"/>
          <w:sz w:val="32"/>
          <w:szCs w:val="32"/>
        </w:rPr>
        <w:t>评审、社会公示、审核批准。凡申报课题的参与人员不参加当次课题评审工作。专家评审采用通信评审、会议评审或线上评审形式进行。评审组专家和工作人员不得查询或透露应当保密的信息；评审结果公示前，不得对外泄露任何评审情况。</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一</w:t>
      </w:r>
      <w:r>
        <w:rPr>
          <w:rFonts w:eastAsia="黑体"/>
          <w:sz w:val="32"/>
          <w:szCs w:val="32"/>
        </w:rPr>
        <w:t>条</w:t>
      </w:r>
      <w:r>
        <w:rPr>
          <w:rFonts w:eastAsia="仿宋"/>
          <w:sz w:val="32"/>
          <w:szCs w:val="32"/>
        </w:rPr>
        <w:t xml:space="preserve"> 专家评审结果面向社会公示、审定公布后，课题负责人应尽快确定课题实施方案，在一个月内组织开题。</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实行分级管理。重大课题、重点课题由中华职业教育社研究部负责指导课题开题、中期检查、过程监督等工作；课题负责人所在单位负责研究工作的日常管理，督促课题负责人按要求如期完成研究任务。一般课题由省级中华职业教育社或课题负责人所在单位指导课题开题、中期检查、过程监督等工作，督促课题负责人如期完成研究任务，并将相关开题、中期检查等材料报送中华职业教育社。</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hint="eastAsia" w:eastAsia="仿宋"/>
          <w:sz w:val="32"/>
          <w:szCs w:val="32"/>
        </w:rPr>
        <w:t>中华职业教育社规划课题按照省部级课题组织和管理，鼓励各单位按照省部级课题对研究课题进行级别认定。</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四</w:t>
      </w:r>
      <w:r>
        <w:rPr>
          <w:rFonts w:eastAsia="黑体"/>
          <w:sz w:val="32"/>
          <w:szCs w:val="32"/>
        </w:rPr>
        <w:t>条</w:t>
      </w:r>
      <w:r>
        <w:rPr>
          <w:rFonts w:eastAsia="仿宋"/>
          <w:sz w:val="32"/>
          <w:szCs w:val="32"/>
        </w:rPr>
        <w:t xml:space="preserve"> 课题研究过程中，如课题组主要成员因故需要变更，应由课题负责人提出书面申请，报中华职业教育社审批或备案；未经申请变更或备案者，在课题结题时不得自行变更。</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课题负责人因工作调动、出国等不能继续研究或存在违法、违规行为的课题，</w:t>
      </w:r>
      <w:r>
        <w:rPr>
          <w:rFonts w:hint="eastAsia" w:eastAsia="仿宋"/>
          <w:sz w:val="32"/>
          <w:szCs w:val="32"/>
        </w:rPr>
        <w:t>课题</w:t>
      </w:r>
      <w:r>
        <w:rPr>
          <w:rFonts w:eastAsia="仿宋"/>
          <w:sz w:val="32"/>
          <w:szCs w:val="32"/>
        </w:rPr>
        <w:t>负责人</w:t>
      </w:r>
      <w:r>
        <w:rPr>
          <w:rFonts w:hint="eastAsia" w:eastAsia="仿宋"/>
          <w:sz w:val="32"/>
          <w:szCs w:val="32"/>
        </w:rPr>
        <w:t>或课题单位</w:t>
      </w:r>
      <w:r>
        <w:rPr>
          <w:rFonts w:eastAsia="仿宋"/>
          <w:sz w:val="32"/>
          <w:szCs w:val="32"/>
        </w:rPr>
        <w:t>应及时向中华职业教育社报告，由中华职业教育社作出中止或撤销的决定。</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p>
    <w:p>
      <w:pPr>
        <w:pageBreakBefore w:val="0"/>
        <w:widowControl/>
        <w:kinsoku/>
        <w:wordWrap/>
        <w:overflowPunct/>
        <w:topLinePunct w:val="0"/>
        <w:autoSpaceDE/>
        <w:autoSpaceDN/>
        <w:bidi w:val="0"/>
        <w:adjustRightInd w:val="0"/>
        <w:snapToGrid w:val="0"/>
        <w:spacing w:line="600" w:lineRule="exact"/>
        <w:ind w:left="17" w:leftChars="0" w:hanging="17" w:hangingChars="5"/>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四</w:t>
      </w:r>
      <w:r>
        <w:rPr>
          <w:rFonts w:hint="eastAsia" w:eastAsia="黑体"/>
          <w:sz w:val="32"/>
          <w:szCs w:val="32"/>
        </w:rPr>
        <w:t xml:space="preserve">章 </w:t>
      </w:r>
      <w:r>
        <w:rPr>
          <w:rFonts w:hint="eastAsia" w:eastAsia="黑体"/>
          <w:sz w:val="32"/>
          <w:szCs w:val="32"/>
          <w:lang w:val="en-US" w:eastAsia="zh-CN"/>
        </w:rPr>
        <w:t>成果要求与鉴定结题</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黑体"/>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eastAsia="黑体"/>
          <w:sz w:val="32"/>
          <w:szCs w:val="32"/>
        </w:rPr>
        <w:t>第十</w:t>
      </w:r>
      <w:r>
        <w:rPr>
          <w:rFonts w:hint="eastAsia" w:eastAsia="黑体"/>
          <w:sz w:val="32"/>
          <w:szCs w:val="32"/>
          <w:lang w:val="en-US" w:eastAsia="zh-CN"/>
        </w:rPr>
        <w:t>六</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课题成果不仅应具有较高的理论水平，而且应具有较强的实践价值，能对新时代</w:t>
      </w:r>
      <w:r>
        <w:rPr>
          <w:rFonts w:hint="eastAsia" w:ascii="仿宋" w:hAnsi="仿宋" w:eastAsia="仿宋"/>
          <w:sz w:val="32"/>
          <w:szCs w:val="32"/>
          <w:lang w:val="en-US" w:eastAsia="zh-CN"/>
        </w:rPr>
        <w:t>统一战线工作和</w:t>
      </w:r>
      <w:r>
        <w:rPr>
          <w:rFonts w:hint="eastAsia" w:ascii="仿宋" w:hAnsi="仿宋" w:eastAsia="仿宋"/>
          <w:sz w:val="32"/>
          <w:szCs w:val="32"/>
        </w:rPr>
        <w:t>职业教育改革与发展发挥切实作用。成果形式包括</w:t>
      </w:r>
      <w:r>
        <w:rPr>
          <w:rFonts w:hint="eastAsia" w:ascii="仿宋" w:hAnsi="仿宋" w:eastAsia="仿宋"/>
          <w:sz w:val="32"/>
          <w:szCs w:val="32"/>
          <w:lang w:val="en-US" w:eastAsia="zh-CN"/>
        </w:rPr>
        <w:t>但不限于</w:t>
      </w:r>
      <w:r>
        <w:rPr>
          <w:rFonts w:hint="eastAsia" w:ascii="仿宋" w:hAnsi="仿宋" w:eastAsia="仿宋"/>
          <w:sz w:val="32"/>
          <w:szCs w:val="32"/>
        </w:rPr>
        <w:t>研究报告、学术论文、专著、</w:t>
      </w:r>
      <w:r>
        <w:rPr>
          <w:rFonts w:hint="eastAsia" w:ascii="仿宋" w:hAnsi="仿宋" w:eastAsia="仿宋"/>
          <w:sz w:val="32"/>
          <w:szCs w:val="32"/>
          <w:lang w:val="en-US" w:eastAsia="zh-CN"/>
        </w:rPr>
        <w:t>教学案例、</w:t>
      </w:r>
      <w:r>
        <w:rPr>
          <w:rFonts w:hint="eastAsia" w:ascii="仿宋" w:hAnsi="仿宋" w:eastAsia="仿宋"/>
          <w:sz w:val="32"/>
          <w:szCs w:val="32"/>
        </w:rPr>
        <w:t>教改成果等。</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课题成果要求：</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重大、重点课题至少达到以下条件中的一项，方可结题：</w:t>
      </w:r>
      <w:r>
        <w:rPr>
          <w:rFonts w:hint="eastAsia" w:ascii="仿宋" w:hAnsi="仿宋" w:eastAsia="仿宋"/>
          <w:sz w:val="32"/>
          <w:szCs w:val="32"/>
          <w:highlight w:val="none"/>
          <w:lang w:val="en-US" w:eastAsia="zh-CN"/>
        </w:rPr>
        <w:t>获得省级或以上领导批示的研究报告1篇，或被采纳建言材料1篇，或</w:t>
      </w:r>
      <w:r>
        <w:rPr>
          <w:rFonts w:hint="eastAsia" w:ascii="仿宋" w:hAnsi="仿宋" w:eastAsia="仿宋"/>
          <w:sz w:val="32"/>
          <w:szCs w:val="32"/>
          <w:highlight w:val="none"/>
        </w:rPr>
        <w:t>获得省级教育教学</w:t>
      </w:r>
      <w:r>
        <w:rPr>
          <w:rFonts w:hint="eastAsia" w:ascii="仿宋" w:hAnsi="仿宋" w:eastAsia="仿宋"/>
          <w:sz w:val="32"/>
          <w:szCs w:val="32"/>
          <w:highlight w:val="none"/>
          <w:lang w:val="en-US" w:eastAsia="zh-CN"/>
        </w:rPr>
        <w:t>或研究</w:t>
      </w:r>
      <w:r>
        <w:rPr>
          <w:rFonts w:hint="eastAsia" w:ascii="仿宋" w:hAnsi="仿宋" w:eastAsia="仿宋"/>
          <w:sz w:val="32"/>
          <w:szCs w:val="32"/>
          <w:highlight w:val="none"/>
        </w:rPr>
        <w:t>成果奖1项（或相同及以上级别奖项），</w:t>
      </w:r>
      <w:r>
        <w:rPr>
          <w:rFonts w:hint="eastAsia" w:ascii="仿宋" w:hAnsi="仿宋" w:eastAsia="仿宋"/>
          <w:sz w:val="32"/>
          <w:szCs w:val="32"/>
          <w:highlight w:val="none"/>
          <w:lang w:val="en-US" w:eastAsia="zh-CN"/>
        </w:rPr>
        <w:t>或</w:t>
      </w:r>
      <w:r>
        <w:rPr>
          <w:rFonts w:hint="eastAsia" w:ascii="仿宋" w:hAnsi="仿宋" w:eastAsia="仿宋"/>
          <w:sz w:val="32"/>
          <w:szCs w:val="32"/>
          <w:highlight w:val="none"/>
        </w:rPr>
        <w:t>北大核心期刊论文1篇，或在人民日报、光明日报等报刊发表2</w:t>
      </w:r>
      <w:r>
        <w:rPr>
          <w:rFonts w:ascii="仿宋" w:hAnsi="仿宋" w:eastAsia="仿宋"/>
          <w:sz w:val="32"/>
          <w:szCs w:val="32"/>
          <w:highlight w:val="none"/>
        </w:rPr>
        <w:t>000</w:t>
      </w:r>
      <w:r>
        <w:rPr>
          <w:rFonts w:hint="eastAsia" w:ascii="仿宋" w:hAnsi="仿宋" w:eastAsia="仿宋"/>
          <w:sz w:val="32"/>
          <w:szCs w:val="32"/>
          <w:highlight w:val="none"/>
        </w:rPr>
        <w:t>字以上学术性文章1篇，或被新华文摘、中国人民大学复印报刊资料收录，或相关成果被省级部门及以上机构采用。</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一般课题应达到以下条件中的一项，方可结题：至少在省级期刊公开发表1篇论文，或在市厅级以上报刊发表学术性文章1篇，或获得市厅级及以上教学成果奖1项，或获得市厅级及以上教育研究成果奖1项。</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课题成果在发表、出版或向有关领导部门报送时，应在醒目位置标明课题名称、立项单位、立项类别及课题批准号等信息。</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八</w:t>
      </w:r>
      <w:r>
        <w:rPr>
          <w:rFonts w:eastAsia="黑体"/>
          <w:sz w:val="32"/>
          <w:szCs w:val="32"/>
        </w:rPr>
        <w:t>条</w:t>
      </w:r>
      <w:r>
        <w:rPr>
          <w:rFonts w:eastAsia="仿宋"/>
          <w:sz w:val="32"/>
          <w:szCs w:val="32"/>
        </w:rPr>
        <w:t xml:space="preserve"> 对于立项课题的最终成果，课题负责人须按课题预设的成果内容，准备好课题结题报告书、课题研究报告、资政报告及相关研究成果支撑材料，经所在单位按预设的成果内容进行初验后，提交中华职业教育社申请结题。中华职业教育社负责对重大课题、重点课题的最终成果进行鉴定和验收，通过验收后颁发结题证书。对于一般课题的最终成果，由省级中华职业教育社进行鉴定和验收审核，中华职业教育社终验合格后，即可结题并颁发证书。</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九</w:t>
      </w:r>
      <w:r>
        <w:rPr>
          <w:rFonts w:eastAsia="黑体"/>
          <w:sz w:val="32"/>
          <w:szCs w:val="32"/>
        </w:rPr>
        <w:t>条</w:t>
      </w:r>
      <w:r>
        <w:rPr>
          <w:rFonts w:hint="eastAsia" w:eastAsia="黑体"/>
          <w:sz w:val="32"/>
          <w:szCs w:val="32"/>
          <w:lang w:val="en-US" w:eastAsia="zh-CN"/>
        </w:rPr>
        <w:t xml:space="preserve"> </w:t>
      </w:r>
      <w:r>
        <w:rPr>
          <w:rFonts w:eastAsia="仿宋"/>
          <w:sz w:val="32"/>
          <w:szCs w:val="32"/>
        </w:rPr>
        <w:t xml:space="preserve">课题最终成果具备以下相关条件的，可申请免于鉴定： </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（一）课题提交的决策咨询报告、政策建议等被省部级以上党政领导机关</w:t>
      </w:r>
      <w:r>
        <w:rPr>
          <w:rFonts w:hint="eastAsia" w:eastAsia="仿宋"/>
          <w:sz w:val="32"/>
          <w:szCs w:val="32"/>
          <w:lang w:eastAsia="zh-CN"/>
        </w:rPr>
        <w:t>、</w:t>
      </w:r>
      <w:r>
        <w:rPr>
          <w:rFonts w:hint="eastAsia" w:eastAsia="仿宋"/>
          <w:sz w:val="32"/>
          <w:szCs w:val="32"/>
          <w:lang w:val="en-US" w:eastAsia="zh-CN"/>
        </w:rPr>
        <w:t>省级中华职业教育社组织</w:t>
      </w:r>
      <w:r>
        <w:rPr>
          <w:rFonts w:eastAsia="仿宋"/>
          <w:sz w:val="32"/>
          <w:szCs w:val="32"/>
        </w:rPr>
        <w:t xml:space="preserve">或教育行政部门完整采纳吸收，并附有基本材料和相关证明； </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（二）课题成果获省部级奖项，名称与课题名称对应，课题负责人须为获奖项目第一人</w:t>
      </w:r>
      <w:r>
        <w:rPr>
          <w:rFonts w:hint="eastAsia" w:eastAsia="仿宋"/>
          <w:sz w:val="32"/>
          <w:szCs w:val="32"/>
        </w:rPr>
        <w:t>，</w:t>
      </w:r>
      <w:r>
        <w:rPr>
          <w:rFonts w:eastAsia="仿宋"/>
          <w:sz w:val="32"/>
          <w:szCs w:val="32"/>
        </w:rPr>
        <w:t>并附有基本材料和相关证明。</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二十</w:t>
      </w:r>
      <w:r>
        <w:rPr>
          <w:rFonts w:hint="eastAsia" w:ascii="黑体" w:hAnsi="黑体" w:eastAsia="黑体" w:cs="黑体"/>
          <w:sz w:val="32"/>
          <w:szCs w:val="32"/>
          <w:lang w:eastAsia="zh-CN"/>
        </w:rPr>
        <w:t>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 xml:space="preserve"> 成果鉴定要求：</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一</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课题成果鉴定原则上采取同行专家会议鉴定或通讯鉴定的方式。每个课题的鉴定专家一般为</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7</w:t>
      </w:r>
      <w:r>
        <w:rPr>
          <w:rFonts w:hint="eastAsia" w:ascii="Times New Roman" w:hAnsi="Times New Roman" w:eastAsia="仿宋" w:cs="Times New Roman"/>
          <w:sz w:val="32"/>
          <w:szCs w:val="32"/>
        </w:rPr>
        <w:t>人，具体人数视情况而定；</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highlight w:val="none"/>
        </w:rPr>
      </w:pPr>
      <w:bookmarkStart w:id="0" w:name="_GoBack"/>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课题组提供的鉴定材料，应包括成果鉴定审批书、公开发表或出版的研究成果（或研究成果及用稿通知书）主件、必要的附件及课题申请书等复印件；</w:t>
      </w:r>
    </w:p>
    <w:bookmarkEnd w:id="0"/>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三</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课题鉴定专家应对成果提出客观、公正、全面的鉴定意见和评定等级。</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二十一</w:t>
      </w:r>
      <w:r>
        <w:rPr>
          <w:rFonts w:eastAsia="黑体"/>
          <w:sz w:val="32"/>
          <w:szCs w:val="32"/>
        </w:rPr>
        <w:t>条</w:t>
      </w:r>
      <w:r>
        <w:rPr>
          <w:rFonts w:hint="eastAsia" w:eastAsia="黑体"/>
          <w:sz w:val="32"/>
          <w:szCs w:val="32"/>
          <w:lang w:val="en-US" w:eastAsia="zh-CN"/>
        </w:rPr>
        <w:t xml:space="preserve"> </w:t>
      </w:r>
      <w:r>
        <w:rPr>
          <w:rFonts w:eastAsia="仿宋"/>
          <w:sz w:val="32"/>
          <w:szCs w:val="32"/>
        </w:rPr>
        <w:t>课题成果在发表、出版或向有关领导部门报送时，应在醒目位置标明课题名称、立项单位、立项类别及课题批准号等信息。中华职业教育社有权对课题成果进行使用，课题组人员拥有其成果的署名权。</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pPr>
        <w:pageBreakBefore w:val="0"/>
        <w:widowControl/>
        <w:kinsoku/>
        <w:wordWrap/>
        <w:overflowPunct/>
        <w:topLinePunct w:val="0"/>
        <w:autoSpaceDE/>
        <w:autoSpaceDN/>
        <w:bidi w:val="0"/>
        <w:adjustRightInd w:val="0"/>
        <w:snapToGrid w:val="0"/>
        <w:spacing w:line="600" w:lineRule="exact"/>
        <w:ind w:left="0" w:leftChars="0" w:firstLine="676" w:firstLineChars="198"/>
        <w:jc w:val="center"/>
        <w:textAlignment w:val="auto"/>
        <w:outlineLvl w:val="1"/>
        <w:rPr>
          <w:rFonts w:hint="eastAsia" w:eastAsia="黑体"/>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五</w:t>
      </w:r>
      <w:r>
        <w:rPr>
          <w:rFonts w:hint="eastAsia" w:eastAsia="黑体"/>
          <w:sz w:val="32"/>
          <w:szCs w:val="32"/>
        </w:rPr>
        <w:t xml:space="preserve">章 </w:t>
      </w:r>
      <w:r>
        <w:rPr>
          <w:rFonts w:hint="eastAsia" w:eastAsia="黑体"/>
          <w:sz w:val="32"/>
          <w:szCs w:val="32"/>
          <w:lang w:val="en-US" w:eastAsia="zh-CN"/>
        </w:rPr>
        <w:t>经费管理与监督</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eastAsia="仿宋"/>
          <w:sz w:val="32"/>
          <w:szCs w:val="32"/>
        </w:rPr>
        <w:t>课题资助经费采取多元筹资方式，中华职业教育社根据课题价值</w:t>
      </w:r>
      <w:r>
        <w:rPr>
          <w:rFonts w:hint="eastAsia" w:eastAsia="仿宋"/>
          <w:sz w:val="32"/>
          <w:szCs w:val="32"/>
        </w:rPr>
        <w:t>适当给予</w:t>
      </w:r>
      <w:r>
        <w:rPr>
          <w:rFonts w:eastAsia="仿宋"/>
          <w:sz w:val="32"/>
          <w:szCs w:val="32"/>
        </w:rPr>
        <w:t>资助。</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五</w:t>
      </w:r>
      <w:r>
        <w:rPr>
          <w:rFonts w:eastAsia="黑体"/>
          <w:sz w:val="32"/>
          <w:szCs w:val="32"/>
        </w:rPr>
        <w:t>条</w:t>
      </w:r>
      <w:r>
        <w:rPr>
          <w:rFonts w:hint="eastAsia" w:eastAsia="黑体"/>
          <w:sz w:val="32"/>
          <w:szCs w:val="32"/>
          <w:lang w:val="en-US" w:eastAsia="zh-CN"/>
        </w:rPr>
        <w:t xml:space="preserve"> </w:t>
      </w:r>
      <w:r>
        <w:rPr>
          <w:rFonts w:eastAsia="仿宋"/>
          <w:sz w:val="32"/>
          <w:szCs w:val="32"/>
        </w:rPr>
        <w:t>课题经费使用范围一般包括资料费、数据采集费、会务费、差旅费、劳务费、专家咨询费、印刷出版费等。</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六</w:t>
      </w:r>
      <w:r>
        <w:rPr>
          <w:rFonts w:eastAsia="黑体"/>
          <w:sz w:val="32"/>
          <w:szCs w:val="32"/>
        </w:rPr>
        <w:t>条</w:t>
      </w:r>
      <w:r>
        <w:rPr>
          <w:rFonts w:eastAsia="仿宋"/>
          <w:sz w:val="32"/>
          <w:szCs w:val="32"/>
        </w:rPr>
        <w:t xml:space="preserve"> 课题负责人对费用使用范围进行调整，须符合所在单位相关财务规定。</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hint="eastAsia" w:ascii="黑体" w:hAnsi="黑体" w:eastAsia="黑体"/>
          <w:sz w:val="32"/>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eastAsia" w:ascii="黑体" w:hAnsi="黑体" w:eastAsia="黑体"/>
          <w:sz w:val="32"/>
          <w:szCs w:val="32"/>
        </w:rPr>
      </w:pPr>
      <w:r>
        <w:rPr>
          <w:rFonts w:hint="eastAsia" w:ascii="黑体" w:hAnsi="黑体" w:eastAsia="黑体"/>
          <w:sz w:val="32"/>
          <w:szCs w:val="32"/>
          <w:lang w:val="en-US" w:eastAsia="zh-CN"/>
        </w:rPr>
        <w:t>第六章 课题</w:t>
      </w:r>
      <w:r>
        <w:rPr>
          <w:rFonts w:hint="eastAsia" w:ascii="黑体" w:hAnsi="黑体" w:eastAsia="黑体"/>
          <w:sz w:val="32"/>
          <w:szCs w:val="32"/>
        </w:rPr>
        <w:t>成果</w:t>
      </w:r>
      <w:r>
        <w:rPr>
          <w:rFonts w:hint="eastAsia" w:ascii="黑体" w:hAnsi="黑体" w:eastAsia="黑体"/>
          <w:sz w:val="32"/>
          <w:szCs w:val="32"/>
          <w:lang w:val="en-US" w:eastAsia="zh-CN"/>
        </w:rPr>
        <w:t>转化与</w:t>
      </w:r>
      <w:r>
        <w:rPr>
          <w:rFonts w:hint="eastAsia" w:ascii="黑体" w:hAnsi="黑体" w:eastAsia="黑体"/>
          <w:sz w:val="32"/>
          <w:szCs w:val="32"/>
        </w:rPr>
        <w:t>推广</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仿宋" w:hAnsi="仿宋" w:eastAsia="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 w:hAnsi="仿宋" w:eastAsia="仿宋"/>
          <w:sz w:val="32"/>
          <w:szCs w:val="32"/>
        </w:rPr>
        <w:t xml:space="preserve"> </w:t>
      </w:r>
      <w:r>
        <w:rPr>
          <w:rFonts w:hint="eastAsia" w:ascii="仿宋" w:hAnsi="仿宋" w:eastAsia="仿宋"/>
          <w:sz w:val="32"/>
          <w:szCs w:val="32"/>
          <w:lang w:val="en-US" w:eastAsia="zh-CN"/>
        </w:rPr>
        <w:t>中华职业教育社各级组织要加强课题成果的推广使用；</w:t>
      </w:r>
      <w:r>
        <w:rPr>
          <w:rFonts w:hint="eastAsia" w:ascii="仿宋" w:hAnsi="仿宋" w:eastAsia="仿宋"/>
          <w:sz w:val="32"/>
          <w:szCs w:val="32"/>
        </w:rPr>
        <w:t>课题负责人要结合研究需要配合开展成果交流和分享活动，促进成果共享、推广和转化，扩大成果影响，充分发挥成果在职业教育改革与发展中的作用。</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二十八</w:t>
      </w:r>
      <w:r>
        <w:rPr>
          <w:rFonts w:hint="eastAsia" w:ascii="黑体" w:hAnsi="黑体" w:eastAsia="黑体" w:cs="黑体"/>
          <w:b w:val="0"/>
          <w:bCs w:val="0"/>
          <w:sz w:val="32"/>
          <w:szCs w:val="32"/>
        </w:rPr>
        <w:t>条</w:t>
      </w:r>
      <w:r>
        <w:rPr>
          <w:rFonts w:hint="eastAsia" w:ascii="仿宋" w:hAnsi="仿宋" w:eastAsia="仿宋"/>
          <w:sz w:val="32"/>
          <w:szCs w:val="32"/>
        </w:rPr>
        <w:t xml:space="preserve"> 中华职业教育社有权对课题成果进行使用，课题组人员拥有其成果的署名权。</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jc w:val="center"/>
        <w:textAlignment w:val="auto"/>
        <w:rPr>
          <w:rFonts w:eastAsia="仿宋"/>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eastAsia="黑体"/>
          <w:bCs/>
          <w:sz w:val="32"/>
          <w:szCs w:val="32"/>
        </w:rPr>
      </w:pPr>
      <w:r>
        <w:rPr>
          <w:rFonts w:hint="eastAsia" w:eastAsia="黑体"/>
          <w:bCs/>
          <w:sz w:val="32"/>
          <w:szCs w:val="32"/>
        </w:rPr>
        <w:t>第七章</w:t>
      </w:r>
      <w:r>
        <w:rPr>
          <w:rFonts w:eastAsia="黑体"/>
          <w:bCs/>
          <w:sz w:val="32"/>
          <w:szCs w:val="32"/>
        </w:rPr>
        <w:t xml:space="preserve"> 附  则</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0"/>
        <w:rPr>
          <w:rFonts w:eastAsia="黑体"/>
          <w:bCs/>
          <w:sz w:val="32"/>
          <w:szCs w:val="32"/>
        </w:rPr>
      </w:pP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二十九</w:t>
      </w:r>
      <w:r>
        <w:rPr>
          <w:rFonts w:eastAsia="黑体"/>
          <w:sz w:val="32"/>
          <w:szCs w:val="32"/>
        </w:rPr>
        <w:t>条</w:t>
      </w:r>
      <w:r>
        <w:rPr>
          <w:rFonts w:eastAsia="仿宋"/>
          <w:sz w:val="32"/>
          <w:szCs w:val="32"/>
        </w:rPr>
        <w:t xml:space="preserve"> 本办法</w:t>
      </w:r>
      <w:r>
        <w:rPr>
          <w:rFonts w:hint="eastAsia" w:eastAsia="仿宋"/>
          <w:sz w:val="32"/>
          <w:szCs w:val="32"/>
        </w:rPr>
        <w:t>的解释权属于中华职业教育社</w:t>
      </w:r>
      <w:r>
        <w:rPr>
          <w:rFonts w:eastAsia="仿宋"/>
          <w:sz w:val="32"/>
          <w:szCs w:val="32"/>
        </w:rPr>
        <w:t>。</w:t>
      </w:r>
    </w:p>
    <w:p>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pPr>
      <w:r>
        <w:rPr>
          <w:rFonts w:eastAsia="黑体"/>
          <w:sz w:val="32"/>
          <w:szCs w:val="32"/>
        </w:rPr>
        <w:t>第</w:t>
      </w:r>
      <w:r>
        <w:rPr>
          <w:rFonts w:hint="eastAsia" w:eastAsia="黑体"/>
          <w:sz w:val="32"/>
          <w:szCs w:val="32"/>
          <w:lang w:val="en-US" w:eastAsia="zh-CN"/>
        </w:rPr>
        <w:t>三十</w:t>
      </w:r>
      <w:r>
        <w:rPr>
          <w:rFonts w:eastAsia="黑体"/>
          <w:sz w:val="32"/>
          <w:szCs w:val="32"/>
        </w:rPr>
        <w:t>条</w:t>
      </w:r>
      <w:r>
        <w:rPr>
          <w:rFonts w:eastAsia="仿宋"/>
          <w:sz w:val="32"/>
          <w:szCs w:val="32"/>
        </w:rPr>
        <w:t xml:space="preserve"> 本办法自发布之日起开始施行。本办法施行前 的有关规定，凡与本办法不符的，均以本办法为准。</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76" w:firstLineChars="198"/>
        <w:textAlignment w:val="auto"/>
        <w:outlineLvl w:val="1"/>
        <w:rPr>
          <w:rFonts w:eastAsia="仿宋"/>
          <w:sz w:val="32"/>
          <w:szCs w:val="32"/>
        </w:rPr>
      </w:pPr>
    </w:p>
    <w:p>
      <w:pPr>
        <w:keepNext w:val="0"/>
        <w:keepLines w:val="0"/>
        <w:pageBreakBefore w:val="0"/>
        <w:kinsoku/>
        <w:wordWrap/>
        <w:overflowPunct/>
        <w:topLinePunct w:val="0"/>
        <w:autoSpaceDE/>
        <w:autoSpaceDN/>
        <w:bidi w:val="0"/>
        <w:spacing w:line="600" w:lineRule="exact"/>
        <w:ind w:left="0" w:leftChars="0" w:firstLine="676" w:firstLineChars="198"/>
        <w:textAlignment w:val="auto"/>
        <w:rPr>
          <w:rFonts w:hint="eastAsia" w:ascii="Times New Roman" w:hAnsi="Times New Roman" w:eastAsia="仿宋"/>
          <w:sz w:val="32"/>
          <w:szCs w:val="32"/>
        </w:rPr>
      </w:pPr>
    </w:p>
    <w:p>
      <w:pPr>
        <w:pStyle w:val="2"/>
        <w:rPr>
          <w:rFonts w:hint="eastAsia" w:ascii="Times New Roman" w:hAnsi="Times New Roman" w:eastAsia="仿宋"/>
          <w:sz w:val="32"/>
          <w:szCs w:val="32"/>
        </w:rPr>
      </w:pPr>
    </w:p>
    <w:p>
      <w:pPr>
        <w:pStyle w:val="4"/>
        <w:rPr>
          <w:rFonts w:hint="eastAsia" w:ascii="Times New Roman" w:hAnsi="Times New Roman" w:eastAsia="仿宋"/>
          <w:sz w:val="32"/>
          <w:szCs w:val="32"/>
        </w:rPr>
      </w:pPr>
    </w:p>
    <w:p>
      <w:pPr>
        <w:rPr>
          <w:rFonts w:hint="eastAsia" w:ascii="Times New Roman" w:hAnsi="Times New Roman" w:eastAsia="仿宋"/>
          <w:sz w:val="32"/>
          <w:szCs w:val="32"/>
        </w:rPr>
      </w:pPr>
    </w:p>
    <w:p>
      <w:pPr>
        <w:rPr>
          <w:rFonts w:hint="eastAsia"/>
        </w:rPr>
      </w:pPr>
    </w:p>
    <w:sectPr>
      <w:footerReference r:id="rId3" w:type="default"/>
      <w:pgSz w:w="11906" w:h="16838"/>
      <w:pgMar w:top="2041" w:right="1474" w:bottom="1474" w:left="1587" w:header="851" w:footer="992" w:gutter="0"/>
      <w:pgBorders>
        <w:top w:val="none" w:sz="0" w:space="0"/>
        <w:left w:val="none" w:sz="0" w:space="0"/>
        <w:bottom w:val="none" w:sz="0" w:space="0"/>
        <w:right w:val="none" w:sz="0" w:space="0"/>
      </w:pgBorders>
      <w:pgNumType w:fmt="decimal"/>
      <w:cols w:space="0" w:num="1"/>
      <w:rtlGutter w:val="0"/>
      <w:docGrid w:type="linesAndChars" w:linePitch="595"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66C3E1-642B-4695-9B84-6E37C65517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C56A15B-8109-4A2E-A644-9003886C8DA3}"/>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FCF231A8-CED8-45C7-99CE-909EBBF33371}"/>
  </w:font>
  <w:font w:name="楷体">
    <w:panose1 w:val="02010609060101010101"/>
    <w:charset w:val="86"/>
    <w:family w:val="modern"/>
    <w:pitch w:val="default"/>
    <w:sig w:usb0="800002BF" w:usb1="38CF7CFA" w:usb2="00000016" w:usb3="00000000" w:csb0="00040001" w:csb1="00000000"/>
    <w:embedRegular r:id="rId4" w:fontKey="{E3996358-4E42-47FB-9D8F-57E3D42D651E}"/>
  </w:font>
  <w:font w:name="仿宋">
    <w:panose1 w:val="02010609060101010101"/>
    <w:charset w:val="86"/>
    <w:family w:val="modern"/>
    <w:pitch w:val="default"/>
    <w:sig w:usb0="800002BF" w:usb1="38CF7CFA" w:usb2="00000016" w:usb3="00000000" w:csb0="00040001" w:csb1="00000000"/>
    <w:embedRegular r:id="rId5" w:fontKey="{85851AAB-46A8-4FC8-8DF9-7DF48E8254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CziH4F5wEAAMcDAAAOAAAAZHJzL2Uyb0RvYy54bWytU82O0zAQ&#10;viPxDpbvNGmlRSVqulqoFiEhQFp4ANdxGku2x7KnTcoDwBtw4sKd5+pz7NhJu2i57GEvyXh+vpnv&#10;83h1PVjDDipEDa7m81nJmXISGu12Nf/29fbVkrOIwjXCgFM1P6rIr9cvX6x6X6kFdGAaFRiBuFj1&#10;vuYdoq+KIspOWRFn4JWjYAvBCqRj2BVNED2hW1MsyvJ10UNofACpYiTvZgzyCTE8BRDaVku1Abm3&#10;yuGIGpQRSJRip33k6zxt2yqJn9s2KmSm5sQU85eakL1N32K9EtUuCN9pOY0gnjLCI05WaEdNL1Ab&#10;gYLtg/4PymoZIEKLMwm2GIlkRYjFvHykzV0nvMpcSOroL6LH54OVnw5fAtMNbQJnTli68NOvn6ff&#10;f09/frB5kqf3saKsO095OLyFIaVO/kjOxHpog01/4sMoTuIeL+KqAZlMRcvFcllSSFLsfCCc4qHc&#10;h4jvFViWjJoHur0sqjh8jDimnlNSNwe32hjyi8o41tf8zdXiKhdcIgRuHPVIJMZhk4XDdpgYbKE5&#10;EjF6D9Swg/Cds562oeaOlp8z88GR2GlxzkY4G9uzIZykwpojZ6P5DscF2/ugd11euTRj9Dd7pJEz&#10;kzTG2Huaju43azHtYlqgf8856+H9re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D6iadQAAAAI&#10;AQAADwAAAAAAAAABACAAAAAiAAAAZHJzL2Rvd25yZXYueG1sUEsBAhQAFAAAAAgAh07iQLOIfgXn&#10;AQAAxwMAAA4AAAAAAAAAAQAgAAAAIwEAAGRycy9lMm9Eb2MueG1sUEsFBgAAAAAGAAYAWQEAAHwF&#10;AAAAAA==&#10;">
              <v:fill on="f" focussize="0,0"/>
              <v:stroke on="f"/>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5A115"/>
    <w:multiLevelType w:val="singleLevel"/>
    <w:tmpl w:val="90C5A11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116"/>
  <w:drawingGridVerticalSpacing w:val="298"/>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349D2"/>
    <w:rsid w:val="18A26B96"/>
    <w:rsid w:val="194B1350"/>
    <w:rsid w:val="1E2B056D"/>
    <w:rsid w:val="225B79E8"/>
    <w:rsid w:val="24DE42D9"/>
    <w:rsid w:val="268719AB"/>
    <w:rsid w:val="396534D9"/>
    <w:rsid w:val="541464CE"/>
    <w:rsid w:val="64A224F3"/>
    <w:rsid w:val="65837C02"/>
    <w:rsid w:val="69C33C76"/>
    <w:rsid w:val="69C57ABB"/>
    <w:rsid w:val="6A6360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line="576" w:lineRule="auto"/>
      <w:outlineLvl w:val="0"/>
    </w:pPr>
    <w:rPr>
      <w:b/>
      <w:kern w:val="44"/>
      <w:sz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next w:val="1"/>
    <w:qFormat/>
    <w:uiPriority w:val="99"/>
    <w:pPr>
      <w:spacing w:line="600" w:lineRule="exact"/>
      <w:ind w:firstLine="587" w:firstLineChars="163"/>
    </w:pPr>
    <w:rPr>
      <w:rFonts w:ascii="仿宋_GB2312" w:eastAsia="仿宋_GB2312"/>
      <w:sz w:val="36"/>
      <w:szCs w:val="21"/>
    </w:rPr>
  </w:style>
  <w:style w:type="paragraph" w:styleId="4">
    <w:name w:val="Body Text First Indent"/>
    <w:basedOn w:val="5"/>
    <w:next w:val="1"/>
    <w:link w:val="21"/>
    <w:unhideWhenUsed/>
    <w:qFormat/>
    <w:uiPriority w:val="99"/>
    <w:pPr>
      <w:ind w:firstLine="420" w:firstLineChars="100"/>
    </w:pPr>
  </w:style>
  <w:style w:type="paragraph" w:styleId="5">
    <w:name w:val="Body Text"/>
    <w:basedOn w:val="1"/>
    <w:next w:val="4"/>
    <w:link w:val="18"/>
    <w:unhideWhenUsed/>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cs="宋体"/>
      <w:b/>
      <w:bCs/>
      <w:kern w:val="28"/>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1111"/>
    <w:qFormat/>
    <w:uiPriority w:val="0"/>
    <w:pPr>
      <w:widowControl w:val="0"/>
      <w:spacing w:line="580" w:lineRule="exact"/>
      <w:jc w:val="both"/>
    </w:pPr>
    <w:rPr>
      <w:rFonts w:ascii="方正仿宋_GBK" w:hAnsi="方正仿宋_GBK" w:eastAsia="宋体" w:cs="Times New Roman"/>
      <w:kern w:val="2"/>
      <w:sz w:val="21"/>
      <w:szCs w:val="24"/>
      <w:lang w:val="en-US" w:eastAsia="zh-CN" w:bidi="ar-SA"/>
    </w:rPr>
  </w:style>
  <w:style w:type="character" w:customStyle="1" w:styleId="18">
    <w:name w:val="正文文本 Char"/>
    <w:basedOn w:val="13"/>
    <w:link w:val="5"/>
    <w:semiHidden/>
    <w:qFormat/>
    <w:uiPriority w:val="99"/>
    <w:rPr>
      <w:szCs w:val="24"/>
    </w:rPr>
  </w:style>
  <w:style w:type="character" w:customStyle="1" w:styleId="19">
    <w:name w:val="页脚 Char"/>
    <w:basedOn w:val="13"/>
    <w:link w:val="8"/>
    <w:qFormat/>
    <w:uiPriority w:val="99"/>
    <w:rPr>
      <w:sz w:val="18"/>
      <w:szCs w:val="18"/>
    </w:rPr>
  </w:style>
  <w:style w:type="character" w:customStyle="1" w:styleId="20">
    <w:name w:val="页眉 Char"/>
    <w:basedOn w:val="13"/>
    <w:link w:val="9"/>
    <w:semiHidden/>
    <w:qFormat/>
    <w:uiPriority w:val="99"/>
    <w:rPr>
      <w:sz w:val="18"/>
      <w:szCs w:val="18"/>
    </w:rPr>
  </w:style>
  <w:style w:type="character" w:customStyle="1" w:styleId="21">
    <w:name w:val="正文首行缩进 Char"/>
    <w:basedOn w:val="18"/>
    <w:link w:val="4"/>
    <w:semiHidden/>
    <w:qFormat/>
    <w:uiPriority w:val="99"/>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3565</Words>
  <Characters>3573</Characters>
  <Lines>29</Lines>
  <Paragraphs>8</Paragraphs>
  <TotalTime>42</TotalTime>
  <ScaleCrop>false</ScaleCrop>
  <LinksUpToDate>false</LinksUpToDate>
  <CharactersWithSpaces>3618</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2024-04-28T01:21:00Z</dcterms:created>
  <dc:creator>dongliming</dc:creator>
  <cp:lastModifiedBy>pengaj</cp:lastModifiedBy>
  <cp:lastPrinted>2025-04-23T07:59:00Z</cp:lastPrinted>
  <dcterms:modified xsi:type="dcterms:W3CDTF">2026-04-21T02:38:39Z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4C4F15D076434BCDBDF2C4E2E88D0353_13</vt:lpwstr>
  </property>
  <property fmtid="{D5CDD505-2E9C-101B-9397-08002B2CF9AE}" pid="4" name="KSOTemplateDocerSaveRecord">
    <vt:lpwstr>eyJoZGlkIjoiODI0OTg4NDg0NGMyYWNhMjRkMTQ4Mjk2MGM3ZGEzOGYiLCJ1c2VySWQiOiIyNDk1MDczMzUifQ==</vt:lpwstr>
  </property>
</Properties>
</file>