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90" w:rsidRDefault="00516D90" w:rsidP="00516D90">
      <w:pPr>
        <w:pStyle w:val="Default"/>
      </w:pPr>
    </w:p>
    <w:p w:rsidR="00516D90" w:rsidRDefault="00516D90" w:rsidP="00516D90">
      <w:pPr>
        <w:pStyle w:val="Defaul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承德市教育科学</w:t>
      </w:r>
      <w:bookmarkStart w:id="0" w:name="_GoBack"/>
      <w:r>
        <w:rPr>
          <w:sz w:val="44"/>
          <w:szCs w:val="44"/>
        </w:rPr>
        <w:t>“</w:t>
      </w:r>
      <w:r>
        <w:rPr>
          <w:rFonts w:hint="eastAsia"/>
          <w:sz w:val="44"/>
          <w:szCs w:val="44"/>
        </w:rPr>
        <w:t>十四五</w:t>
      </w:r>
      <w:r>
        <w:rPr>
          <w:sz w:val="44"/>
          <w:szCs w:val="44"/>
        </w:rPr>
        <w:t>”</w:t>
      </w:r>
      <w:r>
        <w:rPr>
          <w:rFonts w:hint="eastAsia"/>
          <w:sz w:val="44"/>
          <w:szCs w:val="44"/>
        </w:rPr>
        <w:t>规划</w:t>
      </w:r>
    </w:p>
    <w:p w:rsidR="00516D90" w:rsidRDefault="00516D90" w:rsidP="00516D90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2022</w:t>
      </w:r>
      <w:r>
        <w:rPr>
          <w:rFonts w:hint="eastAsia"/>
          <w:sz w:val="44"/>
          <w:szCs w:val="44"/>
        </w:rPr>
        <w:t>年度课题指南</w:t>
      </w:r>
    </w:p>
    <w:bookmarkEnd w:id="0"/>
    <w:p w:rsidR="00516D90" w:rsidRDefault="00516D90" w:rsidP="00516D90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为深入贯彻落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实习近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平总书记关于教育的重要论述，促进承德教育科学研究事业的繁荣发展，为建设高质量发展的教育强市提供理论支撑和智力支持，根据河北省教育厅和承德市教育局重大决策部署，结合承德教育发展的战略需求、改革趋势和现实问题，特制定本年度教育科学规划课题指南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一、重点关注选题</w:t>
      </w:r>
      <w:r>
        <w:rPr>
          <w:rFonts w:ascii="黑体" w:eastAsia="黑体" w:cs="黑体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以下所列条目为本年度重点关注选题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申请者可据此确定研究方向和领域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结合自身实际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进行分解、细化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自拟题目申报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一般不宜直接作为课题题目。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教育综合评价改革创新实践研究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大中小学依法治校体制机制研究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学校风险隐患应急处置能力提升策略研究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全面提升中小学基层党组织的组织力研究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教师队伍建设研究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</w:t>
      </w:r>
      <w:r>
        <w:rPr>
          <w:rFonts w:ascii="仿宋_GB2312" w:eastAsia="仿宋_GB2312" w:cs="仿宋_GB2312" w:hint="eastAsia"/>
          <w:sz w:val="32"/>
          <w:szCs w:val="32"/>
        </w:rPr>
        <w:t>京津冀协同背景下承德高校的发展定位与突破路径研究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7.</w:t>
      </w:r>
      <w:r>
        <w:rPr>
          <w:rFonts w:ascii="仿宋_GB2312" w:eastAsia="仿宋_GB2312" w:cs="仿宋_GB2312" w:hint="eastAsia"/>
          <w:sz w:val="32"/>
          <w:szCs w:val="32"/>
        </w:rPr>
        <w:t>高等学校服务域内战略新兴产业发展的策略研究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8.</w:t>
      </w:r>
      <w:r>
        <w:rPr>
          <w:rFonts w:ascii="仿宋_GB2312" w:eastAsia="仿宋_GB2312" w:cs="仿宋_GB2312" w:hint="eastAsia"/>
          <w:sz w:val="32"/>
          <w:szCs w:val="32"/>
        </w:rPr>
        <w:t>高校本科生学业成就差异的影响因素研究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9.</w:t>
      </w:r>
      <w:r>
        <w:rPr>
          <w:rFonts w:ascii="仿宋_GB2312" w:eastAsia="仿宋_GB2312" w:cs="仿宋_GB2312" w:hint="eastAsia"/>
          <w:sz w:val="32"/>
          <w:szCs w:val="32"/>
        </w:rPr>
        <w:t>高等教育普及化阶段地方普通本科院校人才差异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</w:rPr>
        <w:t>化培养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</w:rPr>
        <w:t>模式研究</w:t>
      </w:r>
    </w:p>
    <w:p w:rsidR="00516D90" w:rsidRPr="00516D90" w:rsidRDefault="00516D90" w:rsidP="00516D90">
      <w:pPr>
        <w:pStyle w:val="Default"/>
        <w:rPr>
          <w:rFonts w:ascii="Calibri" w:eastAsia="仿宋_GB2312" w:hAnsi="Calibri" w:cs="Calibri"/>
          <w:sz w:val="18"/>
          <w:szCs w:val="18"/>
        </w:rPr>
      </w:pPr>
      <w:r>
        <w:rPr>
          <w:rFonts w:ascii="仿宋_GB2312" w:eastAsia="仿宋_GB2312" w:hAnsi="Calibri" w:cs="仿宋_GB2312"/>
          <w:sz w:val="32"/>
          <w:szCs w:val="32"/>
        </w:rPr>
        <w:t>10.</w:t>
      </w:r>
      <w:r>
        <w:rPr>
          <w:rFonts w:ascii="仿宋_GB2312" w:eastAsia="仿宋_GB2312" w:hAnsi="Calibri" w:cs="仿宋_GB2312" w:hint="eastAsia"/>
          <w:sz w:val="32"/>
          <w:szCs w:val="32"/>
        </w:rPr>
        <w:t>高校毕业生就业和重点产业人才供需预测预警机制研究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lastRenderedPageBreak/>
        <w:t>11.</w:t>
      </w:r>
      <w:r>
        <w:rPr>
          <w:rFonts w:ascii="仿宋_GB2312" w:eastAsia="仿宋_GB2312" w:hAnsi="Calibri" w:cs="仿宋_GB2312" w:hint="eastAsia"/>
          <w:sz w:val="32"/>
          <w:szCs w:val="32"/>
        </w:rPr>
        <w:t>智能制造战略背景下多方联动的复合型人才培养体系研究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12.</w:t>
      </w:r>
      <w:r>
        <w:rPr>
          <w:rFonts w:ascii="仿宋_GB2312" w:eastAsia="仿宋_GB2312" w:hAnsi="Calibri" w:cs="仿宋_GB2312" w:hint="eastAsia"/>
          <w:sz w:val="32"/>
          <w:szCs w:val="32"/>
        </w:rPr>
        <w:t>承德高校研究生教育质量提升路径研究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13.</w:t>
      </w:r>
      <w:r>
        <w:rPr>
          <w:rFonts w:ascii="仿宋_GB2312" w:eastAsia="仿宋_GB2312" w:hAnsi="Calibri" w:cs="仿宋_GB2312"/>
          <w:sz w:val="32"/>
          <w:szCs w:val="32"/>
        </w:rPr>
        <w:t>“</w:t>
      </w:r>
      <w:r>
        <w:rPr>
          <w:rFonts w:ascii="仿宋_GB2312" w:eastAsia="仿宋_GB2312" w:hAnsi="Calibri" w:cs="仿宋_GB2312" w:hint="eastAsia"/>
          <w:sz w:val="32"/>
          <w:szCs w:val="32"/>
        </w:rPr>
        <w:t>职教高考</w:t>
      </w:r>
      <w:r>
        <w:rPr>
          <w:rFonts w:ascii="仿宋_GB2312" w:eastAsia="仿宋_GB2312" w:hAnsi="Calibri" w:cs="仿宋_GB2312"/>
          <w:sz w:val="32"/>
          <w:szCs w:val="32"/>
        </w:rPr>
        <w:t>”</w:t>
      </w:r>
      <w:r>
        <w:rPr>
          <w:rFonts w:ascii="仿宋_GB2312" w:eastAsia="仿宋_GB2312" w:hAnsi="Calibri" w:cs="仿宋_GB2312" w:hint="eastAsia"/>
          <w:sz w:val="32"/>
          <w:szCs w:val="32"/>
        </w:rPr>
        <w:t>技能考试的内容与方式研究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14.</w:t>
      </w:r>
      <w:r>
        <w:rPr>
          <w:rFonts w:ascii="仿宋_GB2312" w:eastAsia="仿宋_GB2312" w:hAnsi="Calibri" w:cs="仿宋_GB2312" w:hint="eastAsia"/>
          <w:sz w:val="32"/>
          <w:szCs w:val="32"/>
        </w:rPr>
        <w:t>高质量发展视域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</w:rPr>
        <w:t>下职业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</w:rPr>
        <w:t>本科教育强化内涵建设的策略研究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15.</w:t>
      </w:r>
      <w:r>
        <w:rPr>
          <w:rFonts w:ascii="仿宋_GB2312" w:eastAsia="仿宋_GB2312" w:hAnsi="Calibri" w:cs="仿宋_GB2312" w:hint="eastAsia"/>
          <w:sz w:val="32"/>
          <w:szCs w:val="32"/>
        </w:rPr>
        <w:t>基础教育阶段中华传统文化创新实践研究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16.</w:t>
      </w:r>
      <w:r>
        <w:rPr>
          <w:rFonts w:ascii="仿宋_GB2312" w:eastAsia="仿宋_GB2312" w:hAnsi="Calibri" w:cs="仿宋_GB2312" w:hint="eastAsia"/>
          <w:sz w:val="32"/>
          <w:szCs w:val="32"/>
        </w:rPr>
        <w:t>基础教育集团化办学成效评估与监测研究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17.</w:t>
      </w:r>
      <w:r>
        <w:rPr>
          <w:rFonts w:ascii="仿宋_GB2312" w:eastAsia="仿宋_GB2312" w:hAnsi="Calibri" w:cs="仿宋_GB2312" w:hint="eastAsia"/>
          <w:sz w:val="32"/>
          <w:szCs w:val="32"/>
        </w:rPr>
        <w:t>基础教育质量评价实施研究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18.</w:t>
      </w:r>
      <w:r>
        <w:rPr>
          <w:rFonts w:ascii="仿宋_GB2312" w:eastAsia="仿宋_GB2312" w:hAnsi="Calibri" w:cs="仿宋_GB2312" w:hint="eastAsia"/>
          <w:sz w:val="32"/>
          <w:szCs w:val="32"/>
        </w:rPr>
        <w:t>新时代基础教育教师队伍建设研究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19.</w:t>
      </w:r>
      <w:r>
        <w:rPr>
          <w:rFonts w:ascii="仿宋_GB2312" w:eastAsia="仿宋_GB2312" w:hAnsi="Calibri" w:cs="仿宋_GB2312" w:hint="eastAsia"/>
          <w:sz w:val="32"/>
          <w:szCs w:val="32"/>
        </w:rPr>
        <w:t>普通高中新课程、新教材、新高考改革研究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20.</w:t>
      </w:r>
      <w:r>
        <w:rPr>
          <w:rFonts w:ascii="仿宋_GB2312" w:eastAsia="仿宋_GB2312" w:hAnsi="Calibri" w:cs="仿宋_GB2312" w:hint="eastAsia"/>
          <w:sz w:val="32"/>
          <w:szCs w:val="32"/>
        </w:rPr>
        <w:t>县域普通高中的困境及振兴策略研究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21.</w:t>
      </w:r>
      <w:r>
        <w:rPr>
          <w:rFonts w:ascii="仿宋_GB2312" w:eastAsia="仿宋_GB2312" w:hAnsi="Calibri" w:cs="仿宋_GB2312" w:hint="eastAsia"/>
          <w:sz w:val="32"/>
          <w:szCs w:val="32"/>
        </w:rPr>
        <w:t>学业质量标准的教学指导价值应用研究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22.</w:t>
      </w:r>
      <w:r>
        <w:rPr>
          <w:rFonts w:ascii="仿宋_GB2312" w:eastAsia="仿宋_GB2312" w:hAnsi="Calibri" w:cs="仿宋_GB2312" w:hint="eastAsia"/>
          <w:sz w:val="32"/>
          <w:szCs w:val="32"/>
        </w:rPr>
        <w:t>新课程实施背景下学段、学科衔接研究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23.</w:t>
      </w:r>
      <w:r>
        <w:rPr>
          <w:rFonts w:ascii="仿宋_GB2312" w:eastAsia="仿宋_GB2312" w:hAnsi="Calibri" w:cs="仿宋_GB2312" w:hint="eastAsia"/>
          <w:sz w:val="32"/>
          <w:szCs w:val="32"/>
        </w:rPr>
        <w:t>初中学业水平测试科学化实施路径研究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24.</w:t>
      </w:r>
      <w:r>
        <w:rPr>
          <w:rFonts w:ascii="仿宋_GB2312" w:eastAsia="仿宋_GB2312" w:hAnsi="Calibri" w:cs="仿宋_GB2312"/>
          <w:sz w:val="32"/>
          <w:szCs w:val="32"/>
        </w:rPr>
        <w:t>“</w:t>
      </w:r>
      <w:r>
        <w:rPr>
          <w:rFonts w:ascii="仿宋_GB2312" w:eastAsia="仿宋_GB2312" w:hAnsi="Calibri" w:cs="仿宋_GB2312" w:hint="eastAsia"/>
          <w:sz w:val="32"/>
          <w:szCs w:val="32"/>
        </w:rPr>
        <w:t>双减</w:t>
      </w:r>
      <w:r>
        <w:rPr>
          <w:rFonts w:ascii="仿宋_GB2312" w:eastAsia="仿宋_GB2312" w:hAnsi="Calibri" w:cs="仿宋_GB2312"/>
          <w:sz w:val="32"/>
          <w:szCs w:val="32"/>
        </w:rPr>
        <w:t>”</w:t>
      </w:r>
      <w:r>
        <w:rPr>
          <w:rFonts w:ascii="仿宋_GB2312" w:eastAsia="仿宋_GB2312" w:hAnsi="Calibri" w:cs="仿宋_GB2312" w:hint="eastAsia"/>
          <w:sz w:val="32"/>
          <w:szCs w:val="32"/>
        </w:rPr>
        <w:t>背景下义务教育阶段家校协同育人模式研究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25.</w:t>
      </w:r>
      <w:r>
        <w:rPr>
          <w:rFonts w:ascii="仿宋_GB2312" w:eastAsia="仿宋_GB2312" w:hAnsi="Calibri" w:cs="仿宋_GB2312"/>
          <w:sz w:val="32"/>
          <w:szCs w:val="32"/>
        </w:rPr>
        <w:t>“</w:t>
      </w:r>
      <w:r>
        <w:rPr>
          <w:rFonts w:ascii="仿宋_GB2312" w:eastAsia="仿宋_GB2312" w:hAnsi="Calibri" w:cs="仿宋_GB2312" w:hint="eastAsia"/>
          <w:sz w:val="32"/>
          <w:szCs w:val="32"/>
        </w:rPr>
        <w:t>双减</w:t>
      </w:r>
      <w:r>
        <w:rPr>
          <w:rFonts w:ascii="仿宋_GB2312" w:eastAsia="仿宋_GB2312" w:hAnsi="Calibri" w:cs="仿宋_GB2312"/>
          <w:sz w:val="32"/>
          <w:szCs w:val="32"/>
        </w:rPr>
        <w:t>”</w:t>
      </w:r>
      <w:r>
        <w:rPr>
          <w:rFonts w:ascii="仿宋_GB2312" w:eastAsia="仿宋_GB2312" w:hAnsi="Calibri" w:cs="仿宋_GB2312" w:hint="eastAsia"/>
          <w:sz w:val="32"/>
          <w:szCs w:val="32"/>
        </w:rPr>
        <w:t>背景下推进义务教育学校校长教师交流轮岗研究</w:t>
      </w:r>
    </w:p>
    <w:p w:rsidR="00516D90" w:rsidRDefault="00516D90" w:rsidP="00516D90">
      <w:pPr>
        <w:pStyle w:val="Default"/>
        <w:rPr>
          <w:rFonts w:ascii="Calibri" w:eastAsia="仿宋_GB2312" w:hAnsi="Calibri" w:cs="Calibri"/>
          <w:sz w:val="18"/>
          <w:szCs w:val="18"/>
        </w:rPr>
      </w:pPr>
      <w:r>
        <w:rPr>
          <w:rFonts w:ascii="仿宋_GB2312" w:eastAsia="仿宋_GB2312" w:hAnsi="Calibri" w:cs="仿宋_GB2312"/>
          <w:sz w:val="32"/>
          <w:szCs w:val="32"/>
        </w:rPr>
        <w:t>26.</w:t>
      </w:r>
      <w:r>
        <w:rPr>
          <w:rFonts w:ascii="仿宋_GB2312" w:eastAsia="仿宋_GB2312" w:hAnsi="Calibri" w:cs="仿宋_GB2312"/>
          <w:sz w:val="32"/>
          <w:szCs w:val="32"/>
        </w:rPr>
        <w:t>“</w:t>
      </w:r>
      <w:r>
        <w:rPr>
          <w:rFonts w:ascii="仿宋_GB2312" w:eastAsia="仿宋_GB2312" w:hAnsi="Calibri" w:cs="仿宋_GB2312" w:hint="eastAsia"/>
          <w:sz w:val="32"/>
          <w:szCs w:val="32"/>
        </w:rPr>
        <w:t>双减</w:t>
      </w:r>
      <w:r>
        <w:rPr>
          <w:rFonts w:ascii="仿宋_GB2312" w:eastAsia="仿宋_GB2312" w:hAnsi="Calibri" w:cs="仿宋_GB2312"/>
          <w:sz w:val="32"/>
          <w:szCs w:val="32"/>
        </w:rPr>
        <w:t>”</w:t>
      </w:r>
      <w:r>
        <w:rPr>
          <w:rFonts w:ascii="仿宋_GB2312" w:eastAsia="仿宋_GB2312" w:hAnsi="Calibri" w:cs="仿宋_GB2312" w:hint="eastAsia"/>
          <w:sz w:val="32"/>
          <w:szCs w:val="32"/>
        </w:rPr>
        <w:t>工作成效监测评估研究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27.</w:t>
      </w:r>
      <w:r>
        <w:rPr>
          <w:rFonts w:ascii="仿宋_GB2312" w:eastAsia="仿宋_GB2312" w:hAnsi="Calibri" w:cs="仿宋_GB2312" w:hint="eastAsia"/>
          <w:sz w:val="32"/>
          <w:szCs w:val="32"/>
        </w:rPr>
        <w:t>义务教育学校课后服务水平提升路径研究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28.</w:t>
      </w:r>
      <w:r>
        <w:rPr>
          <w:rFonts w:ascii="仿宋_GB2312" w:eastAsia="仿宋_GB2312" w:hAnsi="Calibri" w:cs="仿宋_GB2312" w:hint="eastAsia"/>
          <w:sz w:val="32"/>
          <w:szCs w:val="32"/>
        </w:rPr>
        <w:t>义务教育新课程方案和课程标准有效实施研究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29.</w:t>
      </w:r>
      <w:r>
        <w:rPr>
          <w:rFonts w:ascii="仿宋_GB2312" w:eastAsia="仿宋_GB2312" w:hAnsi="Calibri" w:cs="仿宋_GB2312" w:hint="eastAsia"/>
          <w:sz w:val="32"/>
          <w:szCs w:val="32"/>
        </w:rPr>
        <w:t>义务教育阶段课程核心素养测评研究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30.</w:t>
      </w:r>
      <w:r>
        <w:rPr>
          <w:rFonts w:ascii="仿宋_GB2312" w:eastAsia="仿宋_GB2312" w:hAnsi="Calibri" w:cs="仿宋_GB2312" w:hint="eastAsia"/>
          <w:sz w:val="32"/>
          <w:szCs w:val="32"/>
        </w:rPr>
        <w:t>城乡义务教育协调统筹优质均衡发展研究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lastRenderedPageBreak/>
        <w:t>31.</w:t>
      </w:r>
      <w:r>
        <w:rPr>
          <w:rFonts w:ascii="仿宋_GB2312" w:eastAsia="仿宋_GB2312" w:hAnsi="Calibri" w:cs="仿宋_GB2312" w:hint="eastAsia"/>
          <w:sz w:val="32"/>
          <w:szCs w:val="32"/>
        </w:rPr>
        <w:t>乡村振兴战略背景下农村义务教育发展现状及提升路径研究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32.</w:t>
      </w:r>
      <w:r>
        <w:rPr>
          <w:rFonts w:ascii="仿宋_GB2312" w:eastAsia="仿宋_GB2312" w:hAnsi="Calibri" w:cs="仿宋_GB2312" w:hint="eastAsia"/>
          <w:sz w:val="32"/>
          <w:szCs w:val="32"/>
        </w:rPr>
        <w:t>普惠性民办幼儿园高质量发展研究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33.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</w:rPr>
        <w:t>园本游戏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</w:rPr>
        <w:t>化课程开发实践研究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34.</w:t>
      </w:r>
      <w:r>
        <w:rPr>
          <w:rFonts w:ascii="仿宋_GB2312" w:eastAsia="仿宋_GB2312" w:hAnsi="Calibri" w:cs="仿宋_GB2312" w:hint="eastAsia"/>
          <w:sz w:val="32"/>
          <w:szCs w:val="32"/>
        </w:rPr>
        <w:t>农村幼儿教师国培后跟进的有效策略研究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35.</w:t>
      </w:r>
      <w:r>
        <w:rPr>
          <w:rFonts w:ascii="仿宋_GB2312" w:eastAsia="仿宋_GB2312" w:hAnsi="Calibri" w:cs="仿宋_GB2312" w:hint="eastAsia"/>
          <w:sz w:val="32"/>
          <w:szCs w:val="32"/>
        </w:rPr>
        <w:t>融合教育背景下特殊教育质量提升研究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36.</w:t>
      </w:r>
      <w:r>
        <w:rPr>
          <w:rFonts w:ascii="仿宋_GB2312" w:eastAsia="仿宋_GB2312" w:hAnsi="Calibri" w:cs="仿宋_GB2312" w:hint="eastAsia"/>
          <w:sz w:val="32"/>
          <w:szCs w:val="32"/>
        </w:rPr>
        <w:t>教育神经科学视角下中小学生</w:t>
      </w:r>
      <w:r>
        <w:rPr>
          <w:rFonts w:ascii="仿宋_GB2312" w:eastAsia="仿宋_GB2312" w:hAnsi="Calibri" w:cs="仿宋_GB2312"/>
          <w:sz w:val="32"/>
          <w:szCs w:val="32"/>
        </w:rPr>
        <w:t>“</w:t>
      </w:r>
      <w:r>
        <w:rPr>
          <w:rFonts w:ascii="仿宋_GB2312" w:eastAsia="仿宋_GB2312" w:hAnsi="Calibri" w:cs="仿宋_GB2312" w:hint="eastAsia"/>
          <w:sz w:val="32"/>
          <w:szCs w:val="32"/>
        </w:rPr>
        <w:t>自我减负</w:t>
      </w:r>
      <w:r>
        <w:rPr>
          <w:rFonts w:ascii="仿宋_GB2312" w:eastAsia="仿宋_GB2312" w:hAnsi="Calibri" w:cs="仿宋_GB2312"/>
          <w:sz w:val="32"/>
          <w:szCs w:val="32"/>
        </w:rPr>
        <w:t>”</w:t>
      </w:r>
      <w:r>
        <w:rPr>
          <w:rFonts w:ascii="仿宋_GB2312" w:eastAsia="仿宋_GB2312" w:hAnsi="Calibri" w:cs="仿宋_GB2312" w:hint="eastAsia"/>
          <w:sz w:val="32"/>
          <w:szCs w:val="32"/>
        </w:rPr>
        <w:t>能力提升研究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37.</w:t>
      </w:r>
      <w:r>
        <w:rPr>
          <w:rFonts w:ascii="仿宋_GB2312" w:eastAsia="仿宋_GB2312" w:hAnsi="Calibri" w:cs="仿宋_GB2312" w:hint="eastAsia"/>
          <w:sz w:val="32"/>
          <w:szCs w:val="32"/>
        </w:rPr>
        <w:t>疫情封闭管理状态下学生心理危机实时监测与干预系统构建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38.</w:t>
      </w:r>
      <w:r>
        <w:rPr>
          <w:rFonts w:ascii="仿宋_GB2312" w:eastAsia="仿宋_GB2312" w:hAnsi="Calibri" w:cs="仿宋_GB2312" w:hint="eastAsia"/>
          <w:sz w:val="32"/>
          <w:szCs w:val="32"/>
        </w:rPr>
        <w:t>新时代中小学校国防教育的现实困境与对策研究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39.</w:t>
      </w:r>
      <w:r>
        <w:rPr>
          <w:rFonts w:ascii="仿宋_GB2312" w:eastAsia="仿宋_GB2312" w:hAnsi="Calibri" w:cs="仿宋_GB2312" w:hint="eastAsia"/>
          <w:sz w:val="32"/>
          <w:szCs w:val="32"/>
        </w:rPr>
        <w:t>加强和改进新时代中小学校劳动教育实践研究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40.</w:t>
      </w:r>
      <w:r>
        <w:rPr>
          <w:rFonts w:ascii="仿宋_GB2312" w:eastAsia="仿宋_GB2312" w:hAnsi="Calibri" w:cs="仿宋_GB2312" w:hint="eastAsia"/>
          <w:sz w:val="32"/>
          <w:szCs w:val="32"/>
        </w:rPr>
        <w:t>中小学校美育课程教学模式改革研究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41.</w:t>
      </w:r>
      <w:r>
        <w:rPr>
          <w:rFonts w:ascii="仿宋_GB2312" w:eastAsia="仿宋_GB2312" w:hAnsi="Calibri" w:cs="仿宋_GB2312" w:hint="eastAsia"/>
          <w:sz w:val="32"/>
          <w:szCs w:val="32"/>
        </w:rPr>
        <w:t>中小学校基于五育融合的音乐教育创新实践研究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42.</w:t>
      </w:r>
      <w:r>
        <w:rPr>
          <w:rFonts w:ascii="仿宋_GB2312" w:eastAsia="仿宋_GB2312" w:hAnsi="Calibri" w:cs="仿宋_GB2312" w:hint="eastAsia"/>
          <w:sz w:val="32"/>
          <w:szCs w:val="32"/>
        </w:rPr>
        <w:t>学校体育与健康融合实践研究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43.</w:t>
      </w:r>
      <w:r>
        <w:rPr>
          <w:rFonts w:ascii="仿宋_GB2312" w:eastAsia="仿宋_GB2312" w:hAnsi="Calibri" w:cs="仿宋_GB2312" w:hint="eastAsia"/>
          <w:sz w:val="32"/>
          <w:szCs w:val="32"/>
        </w:rPr>
        <w:t>校园足球实践与新型足球学校建设研究</w:t>
      </w:r>
      <w:r>
        <w:rPr>
          <w:rFonts w:ascii="仿宋_GB2312" w:eastAsia="仿宋_GB2312" w:hAnsi="Calibri" w:cs="仿宋_GB2312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rPr>
          <w:rFonts w:ascii="Calibri" w:eastAsia="仿宋_GB2312" w:hAnsi="Calibri" w:cs="Calibri"/>
          <w:sz w:val="18"/>
          <w:szCs w:val="18"/>
        </w:rPr>
      </w:pPr>
      <w:r>
        <w:rPr>
          <w:rFonts w:ascii="仿宋_GB2312" w:eastAsia="仿宋_GB2312" w:hAnsi="Calibri" w:cs="仿宋_GB2312"/>
          <w:sz w:val="32"/>
          <w:szCs w:val="32"/>
        </w:rPr>
        <w:t>44.</w:t>
      </w:r>
      <w:r>
        <w:rPr>
          <w:rFonts w:ascii="仿宋_GB2312" w:eastAsia="仿宋_GB2312" w:hAnsi="Calibri" w:cs="仿宋_GB2312" w:hint="eastAsia"/>
          <w:sz w:val="32"/>
          <w:szCs w:val="32"/>
        </w:rPr>
        <w:t>新媒体平台对教育教学作用研究</w:t>
      </w:r>
      <w:r>
        <w:rPr>
          <w:rFonts w:ascii="Calibri" w:eastAsia="仿宋_GB2312" w:hAnsi="Calibri" w:cs="Calibri"/>
          <w:sz w:val="18"/>
          <w:szCs w:val="18"/>
        </w:rPr>
        <w:t xml:space="preserve"> </w:t>
      </w:r>
    </w:p>
    <w:p w:rsidR="00516D90" w:rsidRPr="00516D90" w:rsidRDefault="00516D90" w:rsidP="00516D90">
      <w:pPr>
        <w:pStyle w:val="Default"/>
        <w:rPr>
          <w:rFonts w:ascii="仿宋_GB2312" w:eastAsia="仿宋_GB2312" w:hAnsi="Calibri" w:cs="仿宋_GB2312" w:hint="eastAsia"/>
          <w:sz w:val="32"/>
          <w:szCs w:val="32"/>
        </w:rPr>
      </w:pPr>
      <w:r w:rsidRPr="00516D90">
        <w:rPr>
          <w:rFonts w:ascii="仿宋_GB2312" w:eastAsia="仿宋_GB2312" w:hAnsi="Calibri" w:cs="仿宋_GB2312" w:hint="eastAsia"/>
          <w:sz w:val="32"/>
          <w:szCs w:val="32"/>
        </w:rPr>
        <w:t>45.</w:t>
      </w:r>
      <w:r w:rsidRPr="00516D90">
        <w:rPr>
          <w:rFonts w:ascii="仿宋_GB2312" w:eastAsia="仿宋_GB2312" w:hAnsi="Calibri" w:cs="仿宋_GB2312" w:hint="eastAsia"/>
          <w:sz w:val="32"/>
          <w:szCs w:val="32"/>
        </w:rPr>
        <w:t>国家、省、市中小学智慧教育平台有效运用研究</w:t>
      </w:r>
    </w:p>
    <w:p w:rsidR="00516D90" w:rsidRDefault="00516D90" w:rsidP="00516D90">
      <w:pPr>
        <w:pStyle w:val="Default"/>
        <w:rPr>
          <w:rFonts w:ascii="黑体" w:eastAsia="黑体" w:hAnsi="Calibri" w:cs="黑体"/>
          <w:sz w:val="32"/>
          <w:szCs w:val="32"/>
        </w:rPr>
      </w:pPr>
      <w:r>
        <w:rPr>
          <w:rFonts w:ascii="黑体" w:eastAsia="黑体" w:hAnsi="Calibri" w:cs="黑体" w:hint="eastAsia"/>
          <w:sz w:val="32"/>
          <w:szCs w:val="32"/>
        </w:rPr>
        <w:t>二、自由选题领域</w:t>
      </w:r>
      <w:r>
        <w:rPr>
          <w:rFonts w:ascii="黑体" w:eastAsia="黑体" w:hAnsi="Calibri" w:cs="黑体"/>
          <w:sz w:val="32"/>
          <w:szCs w:val="32"/>
        </w:rPr>
        <w:t xml:space="preserve"> </w:t>
      </w:r>
    </w:p>
    <w:p w:rsidR="00516D90" w:rsidRDefault="00516D90" w:rsidP="00516D90">
      <w:pPr>
        <w:pStyle w:val="Default"/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本年度规划课题指南只列出重点关注选题。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</w:rPr>
        <w:t>一般课题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</w:rPr>
        <w:t>和青年专项课题不设具体指南，申请者可立足自身教育教学实际，针对教育实践中的突出问题，根据自身的研究基础、兴趣和特长，自主确定研究题目，以提高研究的针对性与实效</w:t>
      </w:r>
      <w:r>
        <w:rPr>
          <w:rFonts w:ascii="仿宋_GB2312" w:eastAsia="仿宋_GB2312" w:hAnsi="Calibri" w:cs="仿宋_GB2312" w:hint="eastAsia"/>
          <w:sz w:val="32"/>
          <w:szCs w:val="32"/>
        </w:rPr>
        <w:lastRenderedPageBreak/>
        <w:t>性。鼓励开展聚焦问题，探寻对策的实证研究和应用研究</w:t>
      </w:r>
    </w:p>
    <w:sectPr w:rsidR="00516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charset w:val="86"/>
    <w:family w:val="modern"/>
    <w:pitch w:val="default"/>
    <w:sig w:usb0="00000001" w:usb1="080E0000" w:usb2="00000010" w:usb3="00000000" w:csb0="00040000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90"/>
    <w:rsid w:val="00516D90"/>
    <w:rsid w:val="00E7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D9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D9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</dc:creator>
  <cp:lastModifiedBy>d1</cp:lastModifiedBy>
  <cp:revision>1</cp:revision>
  <dcterms:created xsi:type="dcterms:W3CDTF">2022-10-13T07:41:00Z</dcterms:created>
  <dcterms:modified xsi:type="dcterms:W3CDTF">2022-10-13T07:49:00Z</dcterms:modified>
</cp:coreProperties>
</file>