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2" w:line="224" w:lineRule="auto"/>
        <w:ind w:left="2840"/>
        <w:rPr>
          <w:rFonts w:ascii="宋体" w:hAnsi="宋体" w:eastAsia="宋体" w:cs="宋体"/>
          <w:sz w:val="32"/>
          <w:szCs w:val="31"/>
        </w:rPr>
      </w:pPr>
      <w:r>
        <w:rPr>
          <w:rFonts w:ascii="宋体" w:hAnsi="宋体" w:eastAsia="宋体" w:cs="宋体"/>
          <w:spacing w:val="16"/>
          <w:sz w:val="32"/>
          <w:szCs w:val="31"/>
          <w14:textOutline w14:w="5791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北</w:t>
      </w:r>
      <w:r>
        <w:rPr>
          <w:rFonts w:ascii="宋体" w:hAnsi="宋体" w:eastAsia="宋体" w:cs="宋体"/>
          <w:spacing w:val="9"/>
          <w:sz w:val="32"/>
          <w:szCs w:val="31"/>
          <w14:textOutline w14:w="5791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京长安汽车公司</w:t>
      </w:r>
      <w:r>
        <w:rPr>
          <w:rFonts w:hint="eastAsia" w:ascii="宋体" w:hAnsi="宋体" w:eastAsia="宋体" w:cs="宋体"/>
          <w:spacing w:val="9"/>
          <w:sz w:val="32"/>
          <w:szCs w:val="31"/>
          <w:lang w:val="en-US" w:eastAsia="zh-CN"/>
          <w14:textOutline w14:w="5791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25</w:t>
      </w:r>
      <w:r>
        <w:rPr>
          <w:rFonts w:hint="eastAsia" w:ascii="宋体" w:hAnsi="宋体" w:eastAsia="宋体" w:cs="宋体"/>
          <w:spacing w:val="9"/>
          <w:sz w:val="32"/>
          <w:szCs w:val="31"/>
          <w:lang w:val="en-US" w:eastAsia="zh-CN"/>
          <w14:textOutline w14:w="5791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届</w:t>
      </w:r>
      <w:r>
        <w:rPr>
          <w:rFonts w:ascii="宋体" w:hAnsi="宋体" w:eastAsia="宋体" w:cs="宋体"/>
          <w:spacing w:val="9"/>
          <w:sz w:val="32"/>
          <w:szCs w:val="31"/>
          <w14:textOutline w14:w="5791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招聘简章</w:t>
      </w:r>
    </w:p>
    <w:p>
      <w:pPr>
        <w:spacing w:before="266" w:line="219" w:lineRule="auto"/>
        <w:ind w:left="613"/>
        <w:outlineLvl w:val="0"/>
        <w:rPr>
          <w:rFonts w:ascii="微软雅黑" w:hAnsi="微软雅黑" w:eastAsia="微软雅黑" w:cs="宋体"/>
          <w:sz w:val="28"/>
          <w:szCs w:val="28"/>
        </w:rPr>
      </w:pPr>
      <w:r>
        <w:rPr>
          <w:rFonts w:ascii="微软雅黑" w:hAnsi="微软雅黑" w:eastAsia="微软雅黑" w:cs="宋体"/>
          <w:spacing w:val="-2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一、公</w:t>
      </w:r>
      <w:r>
        <w:rPr>
          <w:rFonts w:ascii="微软雅黑" w:hAnsi="微软雅黑" w:eastAsia="微软雅黑" w:cs="宋体"/>
          <w:spacing w:val="-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司简介</w:t>
      </w:r>
    </w:p>
    <w:p>
      <w:pPr>
        <w:spacing w:before="91" w:line="221" w:lineRule="auto"/>
        <w:ind w:left="613" w:firstLine="296" w:firstLineChars="100"/>
        <w:outlineLvl w:val="0"/>
        <w:rPr>
          <w:rFonts w:ascii="微软雅黑" w:hAnsi="微软雅黑" w:eastAsia="微软雅黑" w:cs="宋体"/>
          <w:spacing w:val="28"/>
          <w:sz w:val="24"/>
          <w:szCs w:val="24"/>
        </w:rPr>
      </w:pP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北京长安汽车公司是重庆长安汽车股份有限公司全资公司，是隶属中国兵器装备集团的大型的国有企业，位于北京高端制造业基地核心区内，产品涵盖长安自主品牌新能源和中高级轿车的十余种车型，是长安汽车最重要的自主品牌战略基地之一。</w:t>
      </w:r>
    </w:p>
    <w:p>
      <w:pPr>
        <w:spacing w:before="91" w:line="221" w:lineRule="auto"/>
        <w:ind w:left="613"/>
        <w:outlineLvl w:val="0"/>
        <w:rPr>
          <w:rFonts w:ascii="微软雅黑" w:hAnsi="微软雅黑" w:eastAsia="微软雅黑" w:cs="宋体"/>
          <w:spacing w:val="28"/>
          <w:sz w:val="24"/>
          <w:szCs w:val="24"/>
        </w:rPr>
      </w:pPr>
      <w:r>
        <w:rPr>
          <w:rFonts w:ascii="微软雅黑" w:hAnsi="微软雅黑" w:eastAsia="微软雅黑" w:cs="宋体"/>
          <w:spacing w:val="28"/>
          <w:sz w:val="24"/>
          <w:szCs w:val="24"/>
        </w:rPr>
        <w:t xml:space="preserve">   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北京长安汽车公司成立于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2010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年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8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月，位于北京市房山区高端制造业基地，公司占地面积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1374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亩，总投资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115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亿元，建筑面积达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30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万平方米，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2012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年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3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月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30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日正式投产。北京长安目前已具备年产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20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万辆整车的生产能力，最大产能可达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50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万辆</w:t>
      </w:r>
      <w:r>
        <w:rPr>
          <w:rFonts w:ascii="微软雅黑" w:hAnsi="微软雅黑" w:eastAsia="微软雅黑" w:cs="宋体"/>
          <w:spacing w:val="28"/>
          <w:sz w:val="24"/>
          <w:szCs w:val="24"/>
        </w:rPr>
        <w:t>/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年。</w:t>
      </w:r>
      <w:r>
        <w:rPr>
          <w:rFonts w:ascii="微软雅黑" w:hAnsi="微软雅黑" w:eastAsia="微软雅黑" w:cs="宋体"/>
          <w:spacing w:val="28"/>
          <w:sz w:val="24"/>
          <w:szCs w:val="24"/>
        </w:rPr>
        <w:t xml:space="preserve"> </w:t>
      </w:r>
    </w:p>
    <w:p>
      <w:pPr>
        <w:spacing w:before="91" w:line="221" w:lineRule="auto"/>
        <w:ind w:left="613" w:firstLine="281" w:firstLineChars="100"/>
        <w:outlineLvl w:val="0"/>
        <w:rPr>
          <w:rFonts w:ascii="微软雅黑" w:hAnsi="微软雅黑" w:eastAsia="微软雅黑" w:cs="宋体"/>
          <w:spacing w:val="28"/>
          <w:sz w:val="24"/>
          <w:szCs w:val="24"/>
        </w:rPr>
      </w:pPr>
      <w:r>
        <w:rPr>
          <w:rFonts w:ascii="长安引力体" w:hAnsi="长安引力体" w:eastAsia="长安引力体"/>
          <w:b/>
          <w:sz w:val="28"/>
        </w:rPr>
        <w:drawing>
          <wp:inline distT="0" distB="0" distL="0" distR="0">
            <wp:extent cx="5274310" cy="2734310"/>
            <wp:effectExtent l="0" t="0" r="254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1" w:line="221" w:lineRule="auto"/>
        <w:ind w:left="613" w:firstLine="296" w:firstLineChars="100"/>
        <w:outlineLvl w:val="0"/>
        <w:rPr>
          <w:rFonts w:ascii="微软雅黑" w:hAnsi="微软雅黑" w:eastAsia="微软雅黑" w:cs="宋体"/>
          <w:spacing w:val="28"/>
          <w:sz w:val="24"/>
          <w:szCs w:val="24"/>
        </w:rPr>
      </w:pP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北京长安汽车公司的建立是长安汽车落实国家自主创新战略，推动首都汽车产业转型升级的重大举措。北京长安始终坚持“科技创新、关爱永恒”的核心价值，以“品质、精细、锐意进取”为关键，秉承长安汽车优良品质，以绿色低碳、节能减排为宗旨，致力于建设现代化、精益化、节能环保的自主品牌和新能源汽车生产基地。</w:t>
      </w:r>
    </w:p>
    <w:p>
      <w:pPr>
        <w:spacing w:before="91" w:line="221" w:lineRule="auto"/>
        <w:ind w:left="613"/>
        <w:outlineLvl w:val="0"/>
        <w:rPr>
          <w:rFonts w:ascii="微软雅黑" w:hAnsi="微软雅黑" w:eastAsia="微软雅黑" w:cs="宋体"/>
          <w:spacing w:val="28"/>
          <w:sz w:val="24"/>
          <w:szCs w:val="24"/>
        </w:rPr>
      </w:pPr>
      <w:r>
        <w:rPr>
          <w:rFonts w:ascii="微软雅黑" w:hAnsi="微软雅黑" w:eastAsia="微软雅黑" w:cs="宋体"/>
          <w:spacing w:val="28"/>
          <w:sz w:val="24"/>
          <w:szCs w:val="24"/>
        </w:rPr>
        <w:t xml:space="preserve">    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长安汽车始终坚持“客户为尊，员工为本，诚信敬业，持续改善”的价值观，倾听客户声音，洞察客户需求，努力超越客户期望；致力于为员工搭建挑战自我，实现价值的舞台，营造公平竞争、相互尊重、关爱协作的氛围，争做和谐劳动关系企业。</w:t>
      </w:r>
    </w:p>
    <w:p>
      <w:pPr>
        <w:spacing w:before="91" w:line="221" w:lineRule="auto"/>
        <w:ind w:left="613"/>
        <w:outlineLvl w:val="0"/>
        <w:rPr>
          <w:rFonts w:hint="eastAsia" w:ascii="微软雅黑" w:hAnsi="微软雅黑" w:eastAsia="微软雅黑" w:cs="宋体"/>
          <w:spacing w:val="28"/>
          <w:sz w:val="24"/>
          <w:szCs w:val="24"/>
        </w:rPr>
      </w:pP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北京长安主要产品：</w:t>
      </w:r>
      <w:r>
        <w:rPr>
          <w:rFonts w:ascii="微软雅黑" w:hAnsi="微软雅黑" w:eastAsia="微软雅黑" w:cs="宋体"/>
          <w:spacing w:val="28"/>
          <w:sz w:val="24"/>
          <w:szCs w:val="24"/>
        </w:rPr>
        <w:t xml:space="preserve">CS75  CS95  </w:t>
      </w:r>
      <w:r>
        <w:rPr>
          <w:rFonts w:hint="eastAsia" w:ascii="微软雅黑" w:hAnsi="微软雅黑" w:eastAsia="微软雅黑" w:cs="宋体"/>
          <w:spacing w:val="28"/>
          <w:sz w:val="24"/>
          <w:szCs w:val="24"/>
        </w:rPr>
        <w:t>新能源车型</w:t>
      </w:r>
    </w:p>
    <w:p>
      <w:pPr>
        <w:ind w:firstLine="843" w:firstLineChars="300"/>
      </w:pPr>
      <w:r>
        <w:rPr>
          <w:rFonts w:ascii="长安引力体" w:hAnsi="长安引力体" w:eastAsia="长安引力体"/>
          <w:b/>
          <w:sz w:val="28"/>
        </w:rPr>
        <w:drawing>
          <wp:inline distT="0" distB="0" distL="0" distR="0">
            <wp:extent cx="2562225" cy="1708150"/>
            <wp:effectExtent l="0" t="0" r="9525" b="635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长安引力体" w:hAnsi="长安引力体" w:eastAsia="长安引力体"/>
          <w:b/>
          <w:sz w:val="28"/>
        </w:rPr>
        <w:drawing>
          <wp:inline distT="0" distB="0" distL="0" distR="0">
            <wp:extent cx="2609850" cy="1739900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</w:p>
    <w:p>
      <w:pPr>
        <w:ind w:firstLine="843" w:firstLineChars="300"/>
        <w:rPr>
          <w:rFonts w:ascii="长安引力体" w:hAnsi="长安引力体" w:eastAsia="长安引力体"/>
          <w:b/>
          <w:sz w:val="28"/>
        </w:rPr>
      </w:pPr>
      <w:r>
        <w:rPr>
          <w:rFonts w:ascii="长安引力体" w:hAnsi="长安引力体" w:eastAsia="长安引力体"/>
          <w:b/>
          <w:sz w:val="28"/>
        </w:rPr>
        <w:drawing>
          <wp:inline distT="0" distB="0" distL="0" distR="0">
            <wp:extent cx="2562225" cy="1692275"/>
            <wp:effectExtent l="0" t="0" r="0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23" cy="17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长安引力体" w:hAnsi="长安引力体" w:eastAsia="长安引力体"/>
          <w:b/>
          <w:sz w:val="28"/>
        </w:rPr>
        <w:t xml:space="preserve"> </w:t>
      </w:r>
      <w:r>
        <w:rPr>
          <w:rFonts w:ascii="长安引力体" w:hAnsi="长安引力体" w:eastAsia="长安引力体"/>
          <w:b/>
          <w:sz w:val="28"/>
        </w:rPr>
        <w:t xml:space="preserve">   </w:t>
      </w:r>
      <w:r>
        <w:rPr>
          <w:rFonts w:ascii="长安引力体" w:hAnsi="长安引力体" w:eastAsia="长安引力体"/>
          <w:b/>
          <w:sz w:val="28"/>
        </w:rPr>
        <w:drawing>
          <wp:inline distT="0" distB="0" distL="0" distR="0">
            <wp:extent cx="2616835" cy="1672590"/>
            <wp:effectExtent l="0" t="0" r="0" b="38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6" cy="16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1" w:line="221" w:lineRule="auto"/>
        <w:outlineLvl w:val="0"/>
        <w:rPr>
          <w:rFonts w:ascii="微软雅黑" w:hAnsi="微软雅黑" w:eastAsia="微软雅黑" w:cs="宋体"/>
          <w:spacing w:val="28"/>
          <w:sz w:val="24"/>
          <w:szCs w:val="24"/>
        </w:rPr>
      </w:pPr>
    </w:p>
    <w:p>
      <w:pPr>
        <w:spacing w:before="91" w:line="221" w:lineRule="auto"/>
        <w:ind w:left="613"/>
        <w:outlineLvl w:val="0"/>
        <w:rPr>
          <w:rFonts w:ascii="微软雅黑" w:hAnsi="微软雅黑" w:eastAsia="微软雅黑" w:cs="宋体"/>
          <w:spacing w:val="-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宋体"/>
          <w:spacing w:val="28"/>
          <w:sz w:val="24"/>
          <w:szCs w:val="24"/>
        </w:rPr>
        <w:t xml:space="preserve">   </w:t>
      </w:r>
      <w:r>
        <w:rPr>
          <w:rFonts w:ascii="微软雅黑" w:hAnsi="微软雅黑" w:eastAsia="微软雅黑" w:cs="宋体"/>
          <w:spacing w:val="-2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二、岗</w:t>
      </w:r>
      <w:r>
        <w:rPr>
          <w:rFonts w:ascii="微软雅黑" w:hAnsi="微软雅黑" w:eastAsia="微软雅黑" w:cs="宋体"/>
          <w:spacing w:val="-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位需求</w:t>
      </w:r>
    </w:p>
    <w:p>
      <w:pPr>
        <w:spacing w:before="91" w:line="221" w:lineRule="auto"/>
        <w:ind w:left="613"/>
        <w:outlineLvl w:val="0"/>
        <w:rPr>
          <w:rFonts w:ascii="微软雅黑" w:hAnsi="微软雅黑" w:eastAsia="微软雅黑" w:cs="宋体"/>
          <w:sz w:val="28"/>
          <w:szCs w:val="28"/>
        </w:rPr>
      </w:pPr>
    </w:p>
    <w:p>
      <w:pPr>
        <w:spacing w:line="117" w:lineRule="exact"/>
        <w:rPr>
          <w:rFonts w:ascii="微软雅黑" w:hAnsi="微软雅黑" w:eastAsia="微软雅黑"/>
        </w:rPr>
      </w:pPr>
    </w:p>
    <w:tbl>
      <w:tblPr>
        <w:tblStyle w:val="7"/>
        <w:tblpPr w:leftFromText="180" w:rightFromText="180" w:vertAnchor="text" w:horzAnchor="page" w:tblpX="1549" w:tblpY="149"/>
        <w:tblOverlap w:val="never"/>
        <w:tblW w:w="95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7"/>
        <w:gridCol w:w="1842"/>
        <w:gridCol w:w="5662"/>
        <w:gridCol w:w="1139"/>
      </w:tblGrid>
      <w:tr>
        <w:tblPrEx>
          <w:tblLayout w:type="fixed"/>
        </w:tblPrEx>
        <w:trPr>
          <w:trHeight w:val="455" w:hRule="atLeast"/>
        </w:trPr>
        <w:tc>
          <w:tcPr>
            <w:tcW w:w="857" w:type="dxa"/>
          </w:tcPr>
          <w:p>
            <w:pPr>
              <w:spacing w:before="107" w:line="221" w:lineRule="auto"/>
              <w:ind w:left="193"/>
              <w:rPr>
                <w:rFonts w:ascii="微软雅黑" w:hAnsi="微软雅黑" w:eastAsia="微软雅黑" w:cs="宋体"/>
                <w:sz w:val="24"/>
                <w:szCs w:val="24"/>
              </w:rPr>
            </w:pPr>
            <w:r>
              <w:rPr>
                <w:rFonts w:ascii="微软雅黑" w:hAnsi="微软雅黑" w:eastAsia="微软雅黑" w:cs="宋体"/>
                <w:spacing w:val="-2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序</w:t>
            </w:r>
            <w:r>
              <w:rPr>
                <w:rFonts w:ascii="微软雅黑" w:hAnsi="微软雅黑" w:eastAsia="微软雅黑" w:cs="宋体"/>
                <w:spacing w:val="-1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号</w:t>
            </w:r>
          </w:p>
        </w:tc>
        <w:tc>
          <w:tcPr>
            <w:tcW w:w="1842" w:type="dxa"/>
          </w:tcPr>
          <w:p>
            <w:pPr>
              <w:spacing w:before="108" w:line="220" w:lineRule="auto"/>
              <w:ind w:left="707"/>
              <w:rPr>
                <w:rFonts w:ascii="微软雅黑" w:hAnsi="微软雅黑" w:eastAsia="微软雅黑" w:cs="宋体"/>
                <w:sz w:val="24"/>
                <w:szCs w:val="24"/>
              </w:rPr>
            </w:pPr>
            <w:r>
              <w:rPr>
                <w:rFonts w:ascii="微软雅黑" w:hAnsi="微软雅黑" w:eastAsia="微软雅黑" w:cs="宋体"/>
                <w:spacing w:val="-9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岗</w:t>
            </w:r>
            <w:r>
              <w:rPr>
                <w:rFonts w:ascii="微软雅黑" w:hAnsi="微软雅黑" w:eastAsia="微软雅黑" w:cs="宋体"/>
                <w:spacing w:val="-8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位</w:t>
            </w:r>
          </w:p>
        </w:tc>
        <w:tc>
          <w:tcPr>
            <w:tcW w:w="5662" w:type="dxa"/>
          </w:tcPr>
          <w:p>
            <w:pPr>
              <w:spacing w:before="107" w:line="220" w:lineRule="auto"/>
              <w:ind w:left="2356"/>
              <w:rPr>
                <w:rFonts w:ascii="微软雅黑" w:hAnsi="微软雅黑" w:eastAsia="微软雅黑" w:cs="宋体"/>
                <w:sz w:val="24"/>
                <w:szCs w:val="24"/>
              </w:rPr>
            </w:pPr>
            <w:r>
              <w:rPr>
                <w:rFonts w:ascii="微软雅黑" w:hAnsi="微软雅黑" w:eastAsia="微软雅黑" w:cs="宋体"/>
                <w:spacing w:val="-2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工作内容</w:t>
            </w:r>
          </w:p>
        </w:tc>
        <w:tc>
          <w:tcPr>
            <w:tcW w:w="1139" w:type="dxa"/>
          </w:tcPr>
          <w:p>
            <w:pPr>
              <w:spacing w:before="108" w:line="220" w:lineRule="auto"/>
              <w:ind w:left="346"/>
              <w:rPr>
                <w:rFonts w:ascii="微软雅黑" w:hAnsi="微软雅黑" w:eastAsia="微软雅黑" w:cs="宋体"/>
                <w:sz w:val="24"/>
                <w:szCs w:val="24"/>
              </w:rPr>
            </w:pPr>
            <w:r>
              <w:rPr>
                <w:rFonts w:ascii="微软雅黑" w:hAnsi="微软雅黑" w:eastAsia="微软雅黑" w:cs="宋体"/>
                <w:spacing w:val="-6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需</w:t>
            </w:r>
            <w:r>
              <w:rPr>
                <w:rFonts w:ascii="微软雅黑" w:hAnsi="微软雅黑" w:eastAsia="微软雅黑" w:cs="宋体"/>
                <w:spacing w:val="-5"/>
                <w:sz w:val="24"/>
                <w:szCs w:val="24"/>
                <w14:textOutline w14:w="4356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求</w:t>
            </w: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857" w:type="dxa"/>
          </w:tcPr>
          <w:p>
            <w:pPr>
              <w:spacing w:before="153" w:line="186" w:lineRule="auto"/>
              <w:ind w:left="396"/>
              <w:rPr>
                <w:rFonts w:hint="eastAsia" w:ascii="微软雅黑" w:hAnsi="微软雅黑" w:eastAsia="微软雅黑" w:cs="宋体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lang w:val="en-US" w:eastAsia="zh-CN"/>
              </w:rPr>
              <w:t>1</w:t>
            </w:r>
          </w:p>
        </w:tc>
        <w:tc>
          <w:tcPr>
            <w:tcW w:w="1842" w:type="dxa"/>
          </w:tcPr>
          <w:p>
            <w:pPr>
              <w:spacing w:before="122" w:line="220" w:lineRule="auto"/>
              <w:ind w:left="116"/>
              <w:jc w:val="center"/>
              <w:rPr>
                <w:rFonts w:hint="eastAsia" w:ascii="微软雅黑" w:hAnsi="微软雅黑" w:eastAsia="微软雅黑" w:cs="宋体"/>
                <w:spacing w:val="-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spacing w:val="-1"/>
                <w:lang w:eastAsia="zh-CN"/>
              </w:rPr>
              <w:t>总装装配</w:t>
            </w:r>
          </w:p>
        </w:tc>
        <w:tc>
          <w:tcPr>
            <w:tcW w:w="5662" w:type="dxa"/>
          </w:tcPr>
          <w:p>
            <w:pPr>
              <w:spacing w:before="122" w:line="220" w:lineRule="auto"/>
              <w:ind w:left="116"/>
              <w:jc w:val="center"/>
              <w:rPr>
                <w:rFonts w:hint="eastAsia" w:ascii="微软雅黑" w:hAnsi="微软雅黑" w:eastAsia="微软雅黑" w:cs="宋体"/>
                <w:spacing w:val="-1"/>
              </w:rPr>
            </w:pPr>
            <w:r>
              <w:rPr>
                <w:rFonts w:hint="eastAsia" w:ascii="微软雅黑" w:hAnsi="微软雅黑" w:eastAsia="微软雅黑" w:cs="宋体"/>
                <w:spacing w:val="-1"/>
              </w:rPr>
              <w:t>负责</w:t>
            </w:r>
            <w:r>
              <w:rPr>
                <w:rFonts w:hint="eastAsia" w:ascii="微软雅黑" w:hAnsi="微软雅黑" w:eastAsia="微软雅黑" w:cs="宋体"/>
                <w:spacing w:val="-1"/>
                <w:lang w:eastAsia="zh-CN"/>
              </w:rPr>
              <w:t>整车装配，零部件组装</w:t>
            </w:r>
          </w:p>
        </w:tc>
        <w:tc>
          <w:tcPr>
            <w:tcW w:w="1139" w:type="dxa"/>
          </w:tcPr>
          <w:p>
            <w:pPr>
              <w:spacing w:before="155" w:line="183" w:lineRule="auto"/>
              <w:ind w:left="471"/>
              <w:rPr>
                <w:rFonts w:ascii="微软雅黑" w:hAnsi="微软雅黑" w:eastAsia="微软雅黑" w:cs="宋体"/>
              </w:rPr>
            </w:pP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857" w:type="dxa"/>
          </w:tcPr>
          <w:p>
            <w:pPr>
              <w:spacing w:before="155" w:line="185" w:lineRule="auto"/>
              <w:ind w:left="383"/>
              <w:rPr>
                <w:rFonts w:hint="eastAsia" w:ascii="微软雅黑" w:hAnsi="微软雅黑" w:eastAsia="微软雅黑" w:cs="宋体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lang w:val="en-US" w:eastAsia="zh-CN"/>
              </w:rPr>
              <w:t>2</w:t>
            </w:r>
          </w:p>
        </w:tc>
        <w:tc>
          <w:tcPr>
            <w:tcW w:w="1842" w:type="dxa"/>
          </w:tcPr>
          <w:p>
            <w:pPr>
              <w:spacing w:before="122" w:line="220" w:lineRule="auto"/>
              <w:ind w:left="116"/>
              <w:jc w:val="center"/>
              <w:rPr>
                <w:rFonts w:hint="eastAsia" w:ascii="微软雅黑" w:hAnsi="微软雅黑" w:eastAsia="微软雅黑" w:cs="宋体"/>
                <w:spacing w:val="-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spacing w:val="-1"/>
                <w:lang w:eastAsia="zh-CN"/>
              </w:rPr>
              <w:t>焊接</w:t>
            </w:r>
          </w:p>
        </w:tc>
        <w:tc>
          <w:tcPr>
            <w:tcW w:w="5662" w:type="dxa"/>
          </w:tcPr>
          <w:p>
            <w:pPr>
              <w:spacing w:before="122" w:line="220" w:lineRule="auto"/>
              <w:ind w:left="116"/>
              <w:jc w:val="center"/>
              <w:rPr>
                <w:rFonts w:hint="eastAsia" w:ascii="微软雅黑" w:hAnsi="微软雅黑" w:eastAsia="微软雅黑" w:cs="宋体"/>
                <w:spacing w:val="-1"/>
              </w:rPr>
            </w:pPr>
            <w:r>
              <w:rPr>
                <w:rFonts w:hint="eastAsia" w:ascii="微软雅黑" w:hAnsi="微软雅黑" w:eastAsia="微软雅黑" w:cs="宋体"/>
                <w:spacing w:val="-1"/>
              </w:rPr>
              <w:t>负责</w:t>
            </w:r>
            <w:r>
              <w:rPr>
                <w:rFonts w:hint="eastAsia" w:ascii="微软雅黑" w:hAnsi="微软雅黑" w:eastAsia="微软雅黑" w:cs="宋体"/>
                <w:spacing w:val="-1"/>
                <w:lang w:eastAsia="zh-CN"/>
              </w:rPr>
              <w:t>零部件焊接，机械手臂操作</w:t>
            </w:r>
          </w:p>
        </w:tc>
        <w:tc>
          <w:tcPr>
            <w:tcW w:w="1139" w:type="dxa"/>
          </w:tcPr>
          <w:p>
            <w:pPr>
              <w:spacing w:before="154" w:line="184" w:lineRule="auto"/>
              <w:ind w:left="484"/>
              <w:rPr>
                <w:rFonts w:ascii="微软雅黑" w:hAnsi="微软雅黑" w:eastAsia="微软雅黑" w:cs="宋体"/>
              </w:rPr>
            </w:pP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857" w:type="dxa"/>
          </w:tcPr>
          <w:p>
            <w:pPr>
              <w:spacing w:before="157" w:line="185" w:lineRule="auto"/>
              <w:ind w:left="379"/>
              <w:rPr>
                <w:rFonts w:hint="eastAsia" w:ascii="微软雅黑" w:hAnsi="微软雅黑" w:eastAsia="微软雅黑" w:cs="宋体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lang w:val="en-US" w:eastAsia="zh-CN"/>
              </w:rPr>
              <w:t>3</w:t>
            </w:r>
          </w:p>
        </w:tc>
        <w:tc>
          <w:tcPr>
            <w:tcW w:w="1842" w:type="dxa"/>
          </w:tcPr>
          <w:p>
            <w:pPr>
              <w:spacing w:before="122" w:line="220" w:lineRule="auto"/>
              <w:ind w:left="116"/>
              <w:jc w:val="center"/>
              <w:rPr>
                <w:rFonts w:hint="eastAsia" w:ascii="微软雅黑" w:hAnsi="微软雅黑" w:eastAsia="微软雅黑" w:cs="宋体"/>
                <w:spacing w:val="-1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spacing w:val="-1"/>
                <w:lang w:eastAsia="zh-CN"/>
              </w:rPr>
              <w:t>涂装</w:t>
            </w:r>
          </w:p>
        </w:tc>
        <w:tc>
          <w:tcPr>
            <w:tcW w:w="5662" w:type="dxa"/>
          </w:tcPr>
          <w:p>
            <w:pPr>
              <w:spacing w:before="122" w:line="220" w:lineRule="auto"/>
              <w:ind w:left="116"/>
              <w:jc w:val="center"/>
              <w:rPr>
                <w:rFonts w:ascii="微软雅黑" w:hAnsi="微软雅黑" w:eastAsia="微软雅黑" w:cs="宋体"/>
                <w:spacing w:val="-1"/>
              </w:rPr>
            </w:pPr>
            <w:r>
              <w:rPr>
                <w:rFonts w:hint="eastAsia" w:ascii="微软雅黑" w:hAnsi="微软雅黑" w:eastAsia="微软雅黑" w:cs="宋体"/>
                <w:spacing w:val="-1"/>
              </w:rPr>
              <w:t>负责</w:t>
            </w:r>
            <w:r>
              <w:rPr>
                <w:rFonts w:hint="eastAsia" w:ascii="微软雅黑" w:hAnsi="微软雅黑" w:eastAsia="微软雅黑" w:cs="宋体"/>
                <w:spacing w:val="-1"/>
                <w:lang w:eastAsia="zh-CN"/>
              </w:rPr>
              <w:t>汽车整车油漆检测及打磨</w:t>
            </w:r>
          </w:p>
        </w:tc>
        <w:tc>
          <w:tcPr>
            <w:tcW w:w="1139" w:type="dxa"/>
          </w:tcPr>
          <w:p>
            <w:pPr>
              <w:spacing w:before="156" w:line="184" w:lineRule="auto"/>
              <w:ind w:left="484"/>
              <w:rPr>
                <w:rFonts w:ascii="微软雅黑" w:hAnsi="微软雅黑" w:eastAsia="微软雅黑" w:cs="宋体"/>
              </w:rPr>
            </w:pPr>
          </w:p>
        </w:tc>
      </w:tr>
      <w:tr>
        <w:tblPrEx>
          <w:tblLayout w:type="fixed"/>
        </w:tblPrEx>
        <w:trPr>
          <w:trHeight w:val="455" w:hRule="atLeast"/>
        </w:trPr>
        <w:tc>
          <w:tcPr>
            <w:tcW w:w="9500" w:type="dxa"/>
            <w:gridSpan w:val="4"/>
          </w:tcPr>
          <w:p>
            <w:pPr>
              <w:spacing w:before="122" w:line="220" w:lineRule="auto"/>
              <w:ind w:left="116"/>
              <w:rPr>
                <w:rFonts w:ascii="微软雅黑" w:hAnsi="微软雅黑" w:eastAsia="微软雅黑" w:cs="宋体"/>
              </w:rPr>
            </w:pPr>
            <w:r>
              <w:rPr>
                <w:rFonts w:ascii="微软雅黑" w:hAnsi="微软雅黑" w:eastAsia="微软雅黑" w:cs="宋体"/>
                <w:spacing w:val="-1"/>
              </w:rPr>
              <w:t>要求全日制应届专科实习+就业</w:t>
            </w:r>
            <w:r>
              <w:rPr>
                <w:rFonts w:hint="eastAsia" w:ascii="微软雅黑" w:hAnsi="微软雅黑" w:eastAsia="微软雅黑" w:cs="宋体"/>
                <w:color w:val="auto"/>
                <w:spacing w:val="-1"/>
              </w:rPr>
              <w:t>理工科大类</w:t>
            </w:r>
            <w:r>
              <w:rPr>
                <w:rFonts w:ascii="微软雅黑" w:hAnsi="微软雅黑" w:eastAsia="微软雅黑" w:cs="宋体"/>
                <w:spacing w:val="-1"/>
              </w:rPr>
              <w:t>毕业生，</w:t>
            </w:r>
            <w:r>
              <w:rPr>
                <w:rFonts w:ascii="微软雅黑" w:hAnsi="微软雅黑" w:eastAsia="微软雅黑" w:cs="宋体"/>
              </w:rPr>
              <w:t>汽车、机械、电气、质量、新能源等专业优先。</w:t>
            </w:r>
          </w:p>
        </w:tc>
      </w:tr>
    </w:tbl>
    <w:p>
      <w:pPr>
        <w:spacing w:before="172" w:line="221" w:lineRule="auto"/>
        <w:outlineLvl w:val="0"/>
        <w:rPr>
          <w:rFonts w:ascii="微软雅黑" w:hAnsi="微软雅黑" w:eastAsia="微软雅黑" w:cs="宋体"/>
          <w:color w:val="auto"/>
          <w:spacing w:val="-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72" w:line="221" w:lineRule="auto"/>
        <w:ind w:left="609"/>
        <w:outlineLvl w:val="0"/>
        <w:rPr>
          <w:rFonts w:ascii="微软雅黑" w:hAnsi="微软雅黑" w:eastAsia="微软雅黑" w:cs="宋体"/>
          <w:color w:val="auto"/>
          <w:sz w:val="28"/>
          <w:szCs w:val="28"/>
        </w:rPr>
      </w:pPr>
      <w:r>
        <w:rPr>
          <w:rFonts w:ascii="微软雅黑" w:hAnsi="微软雅黑" w:eastAsia="微软雅黑" w:cs="宋体"/>
          <w:color w:val="auto"/>
          <w:spacing w:val="-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三、培训</w:t>
      </w:r>
      <w:r>
        <w:rPr>
          <w:rFonts w:ascii="微软雅黑" w:hAnsi="微软雅黑" w:eastAsia="微软雅黑" w:cs="宋体"/>
          <w:color w:val="auto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与发展</w:t>
      </w:r>
    </w:p>
    <w:p>
      <w:pPr>
        <w:rPr>
          <w:rFonts w:ascii="微软雅黑" w:hAnsi="微软雅黑" w:eastAsia="微软雅黑"/>
        </w:rPr>
        <w:sectPr>
          <w:pgSz w:w="11907" w:h="16839"/>
          <w:pgMar w:top="1431" w:right="1198" w:bottom="0" w:left="1202" w:header="0" w:footer="0" w:gutter="0"/>
          <w:cols w:space="720" w:num="1"/>
        </w:sectPr>
      </w:pPr>
    </w:p>
    <w:p>
      <w:pPr>
        <w:spacing w:before="96" w:line="726" w:lineRule="exact"/>
        <w:ind w:firstLine="2232"/>
        <w:textAlignment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pict>
          <v:shape id="_x0000_s1026" o:spid="_x0000_s1026" o:spt="100" style="position:absolute;left:0pt;margin-left:89.15pt;margin-top:76.4pt;height:36.3pt;width:5.45pt;mso-position-horizontal-relative:page;mso-position-vertical-relative:page;z-index:251662336;mso-width-relative:page;mso-height-relative:page;" filled="f" stroked="t" coordsize="108,725" o:allowincell="f" path="m20,88c20,50,50,20,88,20m88,705c50,705,20,675,20,637e">
            <v:path o:connecttype="segments"/>
            <v:fill on="f" focussize="0,0"/>
            <v:stroke weight="2pt" color="#FFFFFF" miterlimit="10" joinstyle="round"/>
            <v:imagedata o:title=""/>
            <o:lock v:ext="edit"/>
          </v:shape>
        </w:pict>
      </w:r>
      <w:r>
        <w:rPr>
          <w:rFonts w:ascii="微软雅黑" w:hAnsi="微软雅黑" w:eastAsia="微软雅黑"/>
        </w:rPr>
        <w:pict>
          <v:shape id="_x0000_s1027" o:spid="_x0000_s1027" o:spt="202" type="#_x0000_t202" style="position:absolute;left:0pt;margin-left:88.15pt;margin-top:75.4pt;height:38.3pt;width:83.7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7"/>
                    <w:tblW w:w="1594" w:type="dxa"/>
                    <w:tblInd w:w="40" w:type="dxa"/>
                    <w:tblBorders>
                      <w:top w:val="single" w:color="FFFFFF" w:sz="16" w:space="0"/>
                      <w:left w:val="single" w:color="FFFFFF" w:sz="16" w:space="0"/>
                      <w:bottom w:val="single" w:color="FFFFFF" w:sz="16" w:space="0"/>
                      <w:right w:val="single" w:color="FFFFFF" w:sz="16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594"/>
                  </w:tblGrid>
                  <w:tr>
                    <w:tblPrEx>
                      <w:tblLayout w:type="fixed"/>
                    </w:tblPrEx>
                    <w:trPr>
                      <w:trHeight w:val="645" w:hRule="atLeast"/>
                    </w:trPr>
                    <w:tc>
                      <w:tcPr>
                        <w:tcW w:w="1594" w:type="dxa"/>
                        <w:shd w:val="clear" w:color="auto" w:fill="4F81BD"/>
                      </w:tcPr>
                      <w:p>
                        <w:pPr>
                          <w:spacing w:line="68" w:lineRule="exact"/>
                          <w:jc w:val="right"/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42545" cy="43180"/>
                              <wp:effectExtent l="0" t="0" r="0" b="0"/>
                              <wp:docPr id="31" name="IM 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 2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078" cy="43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spacing w:before="131" w:line="221" w:lineRule="auto"/>
                          <w:ind w:left="350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FFFFFF"/>
                            <w:spacing w:val="-4"/>
                            <w:sz w:val="22"/>
                            <w:szCs w:val="22"/>
                          </w:rPr>
                          <w:t>公</w:t>
                        </w:r>
                        <w:r>
                          <w:rPr>
                            <w:rFonts w:ascii="宋体" w:hAnsi="宋体" w:eastAsia="宋体" w:cs="宋体"/>
                            <w:color w:val="FFFFFF"/>
                            <w:spacing w:val="-2"/>
                            <w:sz w:val="22"/>
                            <w:szCs w:val="22"/>
                          </w:rPr>
                          <w:t>司培训</w:t>
                        </w:r>
                      </w:p>
                      <w:p>
                        <w:pPr>
                          <w:spacing w:before="114" w:line="68" w:lineRule="exact"/>
                          <w:jc w:val="right"/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42545" cy="42545"/>
                              <wp:effectExtent l="0" t="0" r="0" b="0"/>
                              <wp:docPr id="32" name="IM 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 3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078" cy="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微软雅黑" w:hAnsi="微软雅黑" w:eastAsia="微软雅黑"/>
        </w:rPr>
        <w:pict>
          <v:shape id="_x0000_s1028" o:spid="_x0000_s1028" style="position:absolute;left:0pt;margin-left:177.85pt;margin-top:84.65pt;height:19.8pt;width:16.95pt;mso-position-horizontal-relative:page;mso-position-vertical-relative:page;z-index:251661312;mso-width-relative:page;mso-height-relative:page;" fillcolor="#B2C1DB" filled="t" stroked="f" coordsize="339,395" o:allowincell="f" path="m0,79l168,79,168,0,338,197,168,395,168,316,0,316,0,79xe">
            <v:path/>
            <v:fill on="t" focussize="0,0"/>
            <v:stroke on="f"/>
            <v:imagedata o:title=""/>
            <o:lock v:ext="edit"/>
          </v:shape>
        </w:pict>
      </w:r>
      <w:r>
        <w:rPr>
          <w:rFonts w:ascii="微软雅黑" w:hAnsi="微软雅黑" w:eastAsia="微软雅黑"/>
        </w:rPr>
        <w:pict>
          <v:group id="_x0000_s1029" o:spid="_x0000_s1029" o:spt="203" style="height:36.3pt;width:305pt;" coordsize="6100,725">
            <o:lock v:ext="edit"/>
            <v:group id="_x0000_s1030" o:spid="_x0000_s1030" o:spt="203" style="position:absolute;left:20;top:20;height:685;width:6060;" coordsize="6060,685">
              <o:lock v:ext="edit"/>
              <v:shape id="_x0000_s1031" o:spid="_x0000_s1031" o:spt="100" style="position:absolute;left:0;top:0;height:685;width:1595;" fillcolor="#4F81BD" filled="t" stroked="f" coordsize="1595,685" path="m0,68,0,68c0,30,30,0,68,0l1526,0c1564,0,1594,30,1594,68l1594,617c1594,655,1564,685,1526,685l68,685c30,685,0,655,0,617l0,68xe">
                <v:path o:connecttype="segments"/>
                <v:fill on="t" focussize="0,0"/>
                <v:stroke on="f" joinstyle="round"/>
                <v:imagedata o:title=""/>
                <o:lock v:ext="edit"/>
              </v:shape>
              <v:shape id="_x0000_s1032" o:spid="_x0000_s1032" style="position:absolute;left:1754;top:145;height:395;width:339;" fillcolor="#B2C1DB" filled="t" stroked="f" coordsize="339,395" path="m0,79l169,79,169,0,338,197,169,395,169,316,0,316,0,79xe">
                <v:path/>
                <v:fill on="t" focussize="0,0"/>
                <v:stroke on="f"/>
                <v:imagedata o:title=""/>
                <o:lock v:ext="edit"/>
              </v:shape>
              <v:shape id="_x0000_s1033" o:spid="_x0000_s1033" o:spt="100" style="position:absolute;left:2232;top:0;height:685;width:1595;" fillcolor="#4F81BD" filled="t" stroked="f" coordsize="1595,685" path="m0,68,0,68c0,30,30,0,68,0l1526,0c1564,0,1594,30,1594,68l1594,617c1594,655,1564,685,1526,685l68,685c30,685,0,655,0,617l0,68xe">
                <v:path o:connecttype="segments"/>
                <v:fill on="t" focussize="0,0"/>
                <v:stroke on="f" joinstyle="round"/>
                <v:imagedata o:title=""/>
                <o:lock v:ext="edit"/>
              </v:shape>
              <v:shape id="_x0000_s1034" o:spid="_x0000_s1034" style="position:absolute;left:3986;top:145;height:395;width:339;" fillcolor="#B2C1DB" filled="t" stroked="f" coordsize="339,395" path="m0,79l169,79,169,0,338,197,169,395,169,316,0,316,0,79xe">
                <v:path/>
                <v:fill on="t" focussize="0,0"/>
                <v:stroke on="f"/>
                <v:imagedata o:title=""/>
                <o:lock v:ext="edit"/>
              </v:shape>
              <v:shape id="_x0000_s1035" o:spid="_x0000_s1035" o:spt="100" style="position:absolute;left:4465;top:0;height:685;width:1595;" fillcolor="#4F81BD" filled="t" stroked="f" coordsize="1595,685" path="m0,68,0,68c0,30,30,0,68,0l1526,0c1564,0,1594,30,1594,68l1594,617c1594,655,1564,685,1526,685l68,685c30,685,0,655,0,617l0,68xe">
                <v:path o:connecttype="segments"/>
                <v:fill on="t" focussize="0,0"/>
                <v:stroke on="f" joinstyle="round"/>
                <v:imagedata o:title=""/>
                <o:lock v:ext="edit"/>
              </v:shape>
            </v:group>
            <v:shape id="_x0000_s1036" o:spid="_x0000_s1036" o:spt="202" type="#_x0000_t202" style="position:absolute;left:4445;top:-20;height:765;width:16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7"/>
                      <w:tblW w:w="1594" w:type="dxa"/>
                      <w:tblInd w:w="40" w:type="dxa"/>
                      <w:tblBorders>
                        <w:top w:val="single" w:color="FFFFFF" w:sz="16" w:space="0"/>
                        <w:left w:val="single" w:color="FFFFFF" w:sz="16" w:space="0"/>
                        <w:bottom w:val="single" w:color="FFFFFF" w:sz="16" w:space="0"/>
                        <w:right w:val="single" w:color="FFFFFF" w:sz="1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594"/>
                    </w:tblGrid>
                    <w:tr>
                      <w:tblPrEx>
                        <w:tblLayout w:type="fixed"/>
                      </w:tblPrEx>
                      <w:trPr>
                        <w:trHeight w:val="645" w:hRule="atLeast"/>
                      </w:trPr>
                      <w:tc>
                        <w:tcPr>
                          <w:tcW w:w="1594" w:type="dxa"/>
                        </w:tcPr>
                        <w:p>
                          <w:pPr>
                            <w:spacing w:line="68" w:lineRule="exact"/>
                          </w:pPr>
                          <w:r>
                            <w:rPr>
                              <w:position w:val="-1"/>
                            </w:rPr>
                            <w:drawing>
                              <wp:inline distT="0" distB="0" distL="0" distR="0">
                                <wp:extent cx="986790" cy="43180"/>
                                <wp:effectExtent l="0" t="0" r="0" b="0"/>
                                <wp:docPr id="33" name="IM 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" name="IM 4"/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6790" cy="4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131" w:line="220" w:lineRule="auto"/>
                            <w:ind w:left="238"/>
                            <w:rPr>
                              <w:rFonts w:ascii="宋体" w:hAnsi="宋体" w:eastAsia="宋体" w:cs="宋体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-2"/>
                              <w:sz w:val="22"/>
                              <w:szCs w:val="22"/>
                            </w:rPr>
                            <w:t>师带</w:t>
                          </w: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-1"/>
                              <w:sz w:val="22"/>
                              <w:szCs w:val="22"/>
                            </w:rPr>
                            <w:t>徒培养</w:t>
                          </w:r>
                        </w:p>
                        <w:p>
                          <w:pPr>
                            <w:spacing w:before="115" w:line="67" w:lineRule="exact"/>
                          </w:pPr>
                          <w:r>
                            <w:rPr>
                              <w:position w:val="-1"/>
                            </w:rPr>
                            <w:drawing>
                              <wp:inline distT="0" distB="0" distL="0" distR="0">
                                <wp:extent cx="986790" cy="42545"/>
                                <wp:effectExtent l="0" t="0" r="0" b="0"/>
                                <wp:docPr id="34" name="IM 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IM 5"/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6790" cy="42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/>
                  </w:p>
                </w:txbxContent>
              </v:textbox>
            </v:shape>
            <v:shape id="_x0000_s1037" o:spid="_x0000_s1037" o:spt="202" type="#_x0000_t202" style="position:absolute;left:-20;top:-20;height:765;width:16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7"/>
                      <w:tblW w:w="1594" w:type="dxa"/>
                      <w:tblInd w:w="40" w:type="dxa"/>
                      <w:tblBorders>
                        <w:top w:val="single" w:color="FFFFFF" w:sz="16" w:space="0"/>
                        <w:left w:val="single" w:color="FFFFFF" w:sz="16" w:space="0"/>
                        <w:bottom w:val="single" w:color="FFFFFF" w:sz="16" w:space="0"/>
                        <w:right w:val="single" w:color="FFFFFF" w:sz="1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594"/>
                    </w:tblGrid>
                    <w:tr>
                      <w:tblPrEx>
                        <w:tblLayout w:type="fixed"/>
                      </w:tblPrEx>
                      <w:trPr>
                        <w:trHeight w:val="645" w:hRule="atLeast"/>
                      </w:trPr>
                      <w:tc>
                        <w:tcPr>
                          <w:tcW w:w="1594" w:type="dxa"/>
                        </w:tcPr>
                        <w:p>
                          <w:pPr>
                            <w:spacing w:line="68" w:lineRule="exact"/>
                            <w:jc w:val="right"/>
                          </w:pPr>
                          <w:r>
                            <w:rPr>
                              <w:position w:val="-1"/>
                            </w:rPr>
                            <w:drawing>
                              <wp:inline distT="0" distB="0" distL="0" distR="0">
                                <wp:extent cx="42545" cy="43180"/>
                                <wp:effectExtent l="0" t="0" r="0" b="0"/>
                                <wp:docPr id="35" name="IM 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IM 6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053" cy="4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131" w:line="220" w:lineRule="auto"/>
                            <w:ind w:left="346"/>
                            <w:rPr>
                              <w:rFonts w:ascii="宋体" w:hAnsi="宋体" w:eastAsia="宋体" w:cs="宋体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-2"/>
                              <w:sz w:val="22"/>
                              <w:szCs w:val="22"/>
                            </w:rPr>
                            <w:t>生产</w:t>
                          </w: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-1"/>
                              <w:sz w:val="22"/>
                              <w:szCs w:val="22"/>
                            </w:rPr>
                            <w:t>实践</w:t>
                          </w:r>
                        </w:p>
                        <w:p>
                          <w:pPr>
                            <w:spacing w:before="115" w:line="67" w:lineRule="exact"/>
                            <w:jc w:val="right"/>
                          </w:pPr>
                          <w:r>
                            <w:rPr>
                              <w:position w:val="-1"/>
                            </w:rPr>
                            <w:drawing>
                              <wp:inline distT="0" distB="0" distL="0" distR="0">
                                <wp:extent cx="42545" cy="42545"/>
                                <wp:effectExtent l="0" t="0" r="0" b="0"/>
                                <wp:docPr id="36" name="IM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IM 7"/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053" cy="42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/>
                  </w:p>
                </w:txbxContent>
              </v:textbox>
            </v:shape>
            <v:shape id="_x0000_s1038" o:spid="_x0000_s1038" o:spt="202" type="#_x0000_t202" style="position:absolute;left:2212;top:-20;height:765;width:16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7"/>
                      <w:tblW w:w="1594" w:type="dxa"/>
                      <w:tblInd w:w="40" w:type="dxa"/>
                      <w:tblBorders>
                        <w:top w:val="single" w:color="FFFFFF" w:sz="16" w:space="0"/>
                        <w:left w:val="single" w:color="FFFFFF" w:sz="16" w:space="0"/>
                        <w:bottom w:val="single" w:color="FFFFFF" w:sz="16" w:space="0"/>
                        <w:right w:val="single" w:color="FFFFFF" w:sz="1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594"/>
                    </w:tblGrid>
                    <w:tr>
                      <w:tblPrEx>
                        <w:tblLayout w:type="fixed"/>
                      </w:tblPrEx>
                      <w:trPr>
                        <w:trHeight w:val="645" w:hRule="atLeast"/>
                      </w:trPr>
                      <w:tc>
                        <w:tcPr>
                          <w:tcW w:w="1594" w:type="dxa"/>
                        </w:tcPr>
                        <w:p>
                          <w:pPr>
                            <w:spacing w:line="68" w:lineRule="exact"/>
                            <w:jc w:val="right"/>
                          </w:pPr>
                          <w:r>
                            <w:rPr>
                              <w:position w:val="-1"/>
                            </w:rPr>
                            <w:drawing>
                              <wp:inline distT="0" distB="0" distL="0" distR="0">
                                <wp:extent cx="42545" cy="43180"/>
                                <wp:effectExtent l="0" t="0" r="0" b="0"/>
                                <wp:docPr id="37" name="IM 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" name="IM 8"/>
                                        <pic:cNvPicPr/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053" cy="4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before="131" w:line="221" w:lineRule="auto"/>
                            <w:ind w:left="368"/>
                            <w:rPr>
                              <w:rFonts w:ascii="宋体" w:hAnsi="宋体" w:eastAsia="宋体" w:cs="宋体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-8"/>
                              <w:sz w:val="22"/>
                              <w:szCs w:val="22"/>
                            </w:rPr>
                            <w:t>岗</w:t>
                          </w:r>
                          <w:r>
                            <w:rPr>
                              <w:rFonts w:ascii="宋体" w:hAnsi="宋体" w:eastAsia="宋体" w:cs="宋体"/>
                              <w:color w:val="FFFFFF"/>
                              <w:spacing w:val="-5"/>
                              <w:sz w:val="22"/>
                              <w:szCs w:val="22"/>
                            </w:rPr>
                            <w:t>位分配</w:t>
                          </w:r>
                        </w:p>
                        <w:p>
                          <w:pPr>
                            <w:spacing w:before="114" w:line="68" w:lineRule="exact"/>
                            <w:jc w:val="right"/>
                          </w:pPr>
                          <w:r>
                            <w:rPr>
                              <w:position w:val="-1"/>
                            </w:rPr>
                            <w:drawing>
                              <wp:inline distT="0" distB="0" distL="0" distR="0">
                                <wp:extent cx="42545" cy="42545"/>
                                <wp:effectExtent l="0" t="0" r="0" b="0"/>
                                <wp:docPr id="38" name="IM 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IM 9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053" cy="42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>
                    <w:pPr/>
                  </w:p>
                </w:txbxContent>
              </v:textbox>
            </v:shape>
            <v:shape id="_x0000_s1039" o:spid="_x0000_s1039" o:spt="100" style="position:absolute;left:0;top:0;height:725;width:108;" filled="f" stroked="t" coordsize="108,725" path="m20,88c20,50,50,20,88,20m88,705c50,705,20,675,20,637e">
              <v:path o:connecttype="segments"/>
              <v:fill on="f" focussize="0,0"/>
              <v:stroke weight="2pt" color="#FFFFFF" miterlimit="10" joinstyle="round"/>
              <v:imagedata o:title=""/>
              <o:lock v:ext="edit"/>
            </v:shape>
            <v:shape id="_x0000_s1040" o:spid="_x0000_s1040" o:spt="100" style="position:absolute;left:2232;top:0;height:725;width:108;" filled="f" stroked="t" coordsize="108,725" path="m20,88c20,50,50,20,88,20m88,705c50,705,20,675,20,637e">
              <v:path o:connecttype="segments"/>
              <v:fill on="f" focussize="0,0"/>
              <v:stroke weight="2pt" color="#FFFFFF" miterlimit="10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spacing w:before="237" w:line="360" w:lineRule="auto"/>
        <w:ind w:left="31" w:right="61" w:firstLine="474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-18"/>
          <w:sz w:val="24"/>
          <w:szCs w:val="24"/>
        </w:rPr>
        <w:t>第一步</w:t>
      </w:r>
      <w:r>
        <w:rPr>
          <w:rFonts w:ascii="微软雅黑" w:hAnsi="微软雅黑" w:eastAsia="微软雅黑" w:cs="宋体"/>
          <w:spacing w:val="-10"/>
          <w:sz w:val="24"/>
          <w:szCs w:val="24"/>
        </w:rPr>
        <w:t>：</w:t>
      </w:r>
      <w:r>
        <w:rPr>
          <w:rFonts w:ascii="微软雅黑" w:hAnsi="微软雅黑" w:eastAsia="微软雅黑" w:cs="宋体"/>
          <w:spacing w:val="-9"/>
          <w:sz w:val="24"/>
          <w:szCs w:val="24"/>
        </w:rPr>
        <w:t xml:space="preserve"> 入职第一周参加公司级培训， 培训内容包括企业文化及介绍、安全</w:t>
      </w:r>
      <w:r>
        <w:rPr>
          <w:rFonts w:ascii="微软雅黑" w:hAnsi="微软雅黑" w:eastAsia="微软雅黑" w:cs="宋体"/>
          <w:sz w:val="24"/>
          <w:szCs w:val="24"/>
        </w:rPr>
        <w:t xml:space="preserve"> </w:t>
      </w:r>
      <w:r>
        <w:rPr>
          <w:rFonts w:ascii="微软雅黑" w:hAnsi="微软雅黑" w:eastAsia="微软雅黑" w:cs="宋体"/>
          <w:spacing w:val="-6"/>
          <w:sz w:val="24"/>
          <w:szCs w:val="24"/>
        </w:rPr>
        <w:t>管理</w:t>
      </w:r>
      <w:r>
        <w:rPr>
          <w:rFonts w:ascii="微软雅黑" w:hAnsi="微软雅黑" w:eastAsia="微软雅黑" w:cs="宋体"/>
          <w:spacing w:val="-5"/>
          <w:sz w:val="24"/>
          <w:szCs w:val="24"/>
        </w:rPr>
        <w:t>规</w:t>
      </w:r>
      <w:r>
        <w:rPr>
          <w:rFonts w:ascii="微软雅黑" w:hAnsi="微软雅黑" w:eastAsia="微软雅黑" w:cs="宋体"/>
          <w:spacing w:val="-3"/>
          <w:sz w:val="24"/>
          <w:szCs w:val="24"/>
        </w:rPr>
        <w:t>定、人事管理制度等。</w:t>
      </w:r>
    </w:p>
    <w:p>
      <w:pPr>
        <w:spacing w:before="2" w:line="359" w:lineRule="auto"/>
        <w:ind w:left="25" w:right="61" w:firstLine="48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-13"/>
          <w:sz w:val="24"/>
          <w:szCs w:val="24"/>
        </w:rPr>
        <w:t>第二步： 分配实践岗位， 参与汽车生产岗位实践， 了解掌握汽车生产制造</w:t>
      </w:r>
      <w:r>
        <w:rPr>
          <w:rFonts w:ascii="微软雅黑" w:hAnsi="微软雅黑" w:eastAsia="微软雅黑" w:cs="宋体"/>
          <w:spacing w:val="-8"/>
          <w:sz w:val="24"/>
          <w:szCs w:val="24"/>
        </w:rPr>
        <w:t>过</w:t>
      </w:r>
      <w:r>
        <w:rPr>
          <w:rFonts w:ascii="微软雅黑" w:hAnsi="微软雅黑" w:eastAsia="微软雅黑" w:cs="宋体"/>
          <w:sz w:val="24"/>
          <w:szCs w:val="24"/>
        </w:rPr>
        <w:t xml:space="preserve"> </w:t>
      </w:r>
      <w:r>
        <w:rPr>
          <w:rFonts w:ascii="微软雅黑" w:hAnsi="微软雅黑" w:eastAsia="微软雅黑" w:cs="宋体"/>
          <w:spacing w:val="-8"/>
          <w:sz w:val="24"/>
          <w:szCs w:val="24"/>
        </w:rPr>
        <w:t>程管理</w:t>
      </w:r>
      <w:r>
        <w:rPr>
          <w:rFonts w:ascii="微软雅黑" w:hAnsi="微软雅黑" w:eastAsia="微软雅黑" w:cs="宋体"/>
          <w:spacing w:val="-6"/>
          <w:sz w:val="24"/>
          <w:szCs w:val="24"/>
        </w:rPr>
        <w:t>、</w:t>
      </w:r>
      <w:r>
        <w:rPr>
          <w:rFonts w:ascii="微软雅黑" w:hAnsi="微软雅黑" w:eastAsia="微软雅黑" w:cs="宋体"/>
          <w:spacing w:val="-4"/>
          <w:sz w:val="24"/>
          <w:szCs w:val="24"/>
        </w:rPr>
        <w:t>工艺，顶岗实习</w:t>
      </w:r>
      <w:r>
        <w:rPr>
          <w:rFonts w:hint="eastAsia" w:ascii="微软雅黑" w:hAnsi="微软雅黑" w:eastAsia="微软雅黑" w:cs="宋体"/>
          <w:color w:val="auto"/>
          <w:spacing w:val="-4"/>
          <w:sz w:val="24"/>
          <w:szCs w:val="24"/>
        </w:rPr>
        <w:t>到毕业</w:t>
      </w:r>
      <w:r>
        <w:rPr>
          <w:rFonts w:ascii="微软雅黑" w:hAnsi="微软雅黑" w:eastAsia="微软雅黑" w:cs="宋体"/>
          <w:spacing w:val="-4"/>
          <w:sz w:val="24"/>
          <w:szCs w:val="24"/>
        </w:rPr>
        <w:t>。</w:t>
      </w:r>
    </w:p>
    <w:p>
      <w:pPr>
        <w:spacing w:line="360" w:lineRule="auto"/>
        <w:ind w:left="29" w:firstLine="477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-10"/>
          <w:sz w:val="24"/>
          <w:szCs w:val="24"/>
        </w:rPr>
        <w:t>第</w:t>
      </w:r>
      <w:r>
        <w:rPr>
          <w:rFonts w:ascii="微软雅黑" w:hAnsi="微软雅黑" w:eastAsia="微软雅黑" w:cs="宋体"/>
          <w:spacing w:val="-8"/>
          <w:sz w:val="24"/>
          <w:szCs w:val="24"/>
        </w:rPr>
        <w:t>三步： 实习结束后进行岗位分配，主要方向有后备区班长， 机电维修员，</w:t>
      </w:r>
      <w:r>
        <w:rPr>
          <w:rFonts w:ascii="微软雅黑" w:hAnsi="微软雅黑" w:eastAsia="微软雅黑" w:cs="宋体"/>
          <w:sz w:val="24"/>
          <w:szCs w:val="24"/>
        </w:rPr>
        <w:t xml:space="preserve"> </w:t>
      </w:r>
      <w:r>
        <w:rPr>
          <w:rFonts w:ascii="微软雅黑" w:hAnsi="微软雅黑" w:eastAsia="微软雅黑" w:cs="宋体"/>
          <w:spacing w:val="-7"/>
          <w:sz w:val="24"/>
          <w:szCs w:val="24"/>
        </w:rPr>
        <w:t>工</w:t>
      </w:r>
      <w:r>
        <w:rPr>
          <w:rFonts w:ascii="微软雅黑" w:hAnsi="微软雅黑" w:eastAsia="微软雅黑" w:cs="宋体"/>
          <w:spacing w:val="-5"/>
          <w:sz w:val="24"/>
          <w:szCs w:val="24"/>
        </w:rPr>
        <w:t>艺质量员</w:t>
      </w:r>
      <w:r>
        <w:rPr>
          <w:rFonts w:hint="eastAsia" w:ascii="微软雅黑" w:hAnsi="微软雅黑" w:eastAsia="微软雅黑" w:cs="宋体"/>
          <w:color w:val="auto"/>
          <w:spacing w:val="-5"/>
          <w:sz w:val="24"/>
          <w:szCs w:val="24"/>
        </w:rPr>
        <w:t>等</w:t>
      </w:r>
      <w:r>
        <w:rPr>
          <w:rFonts w:ascii="微软雅黑" w:hAnsi="微软雅黑" w:eastAsia="微软雅黑" w:cs="宋体"/>
          <w:color w:val="auto"/>
          <w:spacing w:val="-5"/>
          <w:sz w:val="24"/>
          <w:szCs w:val="24"/>
        </w:rPr>
        <w:t>岗</w:t>
      </w:r>
      <w:r>
        <w:rPr>
          <w:rFonts w:ascii="微软雅黑" w:hAnsi="微软雅黑" w:eastAsia="微软雅黑" w:cs="宋体"/>
          <w:spacing w:val="-5"/>
          <w:sz w:val="24"/>
          <w:szCs w:val="24"/>
        </w:rPr>
        <w:t>位。</w:t>
      </w:r>
    </w:p>
    <w:p>
      <w:pPr>
        <w:spacing w:line="219" w:lineRule="auto"/>
        <w:ind w:left="506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-2"/>
          <w:sz w:val="24"/>
          <w:szCs w:val="24"/>
        </w:rPr>
        <w:t>第四步：确定师傅，签订师带徒协议，</w:t>
      </w:r>
      <w:r>
        <w:rPr>
          <w:rFonts w:ascii="微软雅黑" w:hAnsi="微软雅黑" w:eastAsia="微软雅黑" w:cs="宋体"/>
          <w:spacing w:val="-1"/>
          <w:sz w:val="24"/>
          <w:szCs w:val="24"/>
        </w:rPr>
        <w:t>进行岗位技能培养。</w:t>
      </w:r>
    </w:p>
    <w:p>
      <w:pPr>
        <w:spacing w:before="240" w:line="220" w:lineRule="auto"/>
        <w:ind w:left="54"/>
        <w:outlineLvl w:val="0"/>
        <w:rPr>
          <w:rFonts w:ascii="微软雅黑" w:hAnsi="微软雅黑" w:eastAsia="微软雅黑" w:cs="宋体"/>
          <w:sz w:val="28"/>
          <w:szCs w:val="28"/>
        </w:rPr>
      </w:pPr>
      <w:r>
        <w:rPr>
          <w:rFonts w:ascii="微软雅黑" w:hAnsi="微软雅黑" w:eastAsia="微软雅黑" w:cs="宋体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宋体"/>
          <w:spacing w:val="-5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、薪酬福利</w:t>
      </w:r>
    </w:p>
    <w:p>
      <w:pPr>
        <w:spacing w:before="233" w:line="220" w:lineRule="auto"/>
        <w:ind w:left="37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Calibri"/>
          <w:spacing w:val="-10"/>
          <w:sz w:val="24"/>
          <w:szCs w:val="24"/>
        </w:rPr>
        <w:t>1</w:t>
      </w:r>
      <w:r>
        <w:rPr>
          <w:rFonts w:ascii="微软雅黑" w:hAnsi="微软雅黑" w:eastAsia="微软雅黑" w:cs="宋体"/>
          <w:spacing w:val="-7"/>
          <w:sz w:val="24"/>
          <w:szCs w:val="24"/>
        </w:rPr>
        <w:t>、食宿</w:t>
      </w:r>
    </w:p>
    <w:p>
      <w:pPr>
        <w:spacing w:before="183" w:line="360" w:lineRule="auto"/>
        <w:ind w:left="30" w:right="60" w:firstLine="482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pacing w:val="-12"/>
          <w:sz w:val="24"/>
          <w:szCs w:val="24"/>
        </w:rPr>
        <w:t>①</w:t>
      </w:r>
      <w:r>
        <w:rPr>
          <w:rFonts w:hint="eastAsia" w:ascii="微软雅黑" w:hAnsi="微软雅黑" w:eastAsia="微软雅黑" w:cs="宋体"/>
          <w:spacing w:val="-6"/>
          <w:sz w:val="24"/>
          <w:szCs w:val="24"/>
        </w:rPr>
        <w:t>工作日</w:t>
      </w:r>
      <w:r>
        <w:rPr>
          <w:rFonts w:ascii="微软雅黑" w:hAnsi="微软雅黑" w:eastAsia="微软雅黑" w:cs="宋体"/>
          <w:spacing w:val="-6"/>
          <w:sz w:val="24"/>
          <w:szCs w:val="24"/>
        </w:rPr>
        <w:t>提供免费工作餐</w:t>
      </w:r>
      <w:r>
        <w:rPr>
          <w:rFonts w:hint="eastAsia" w:ascii="微软雅黑" w:hAnsi="微软雅黑" w:eastAsia="微软雅黑" w:cs="宋体"/>
          <w:spacing w:val="-6"/>
          <w:sz w:val="24"/>
          <w:szCs w:val="24"/>
        </w:rPr>
        <w:t>+加班餐（达到规定时间）</w:t>
      </w:r>
      <w:r>
        <w:rPr>
          <w:rFonts w:hint="eastAsia" w:ascii="微软雅黑" w:hAnsi="微软雅黑" w:eastAsia="微软雅黑" w:cs="宋体"/>
          <w:spacing w:val="-5"/>
          <w:sz w:val="24"/>
          <w:szCs w:val="24"/>
        </w:rPr>
        <w:t>；</w:t>
      </w:r>
    </w:p>
    <w:p>
      <w:pPr>
        <w:spacing w:before="183" w:line="360" w:lineRule="auto"/>
        <w:ind w:left="30" w:right="60" w:firstLine="482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宋体"/>
          <w:spacing w:val="-6"/>
          <w:sz w:val="24"/>
          <w:szCs w:val="24"/>
        </w:rPr>
        <w:t>②</w:t>
      </w:r>
      <w:r>
        <w:rPr>
          <w:rFonts w:ascii="微软雅黑" w:hAnsi="微软雅黑" w:eastAsia="微软雅黑" w:cs="宋体"/>
          <w:spacing w:val="-12"/>
          <w:sz w:val="24"/>
          <w:szCs w:val="24"/>
        </w:rPr>
        <w:t>公司提</w:t>
      </w:r>
      <w:r>
        <w:rPr>
          <w:rFonts w:ascii="微软雅黑" w:hAnsi="微软雅黑" w:eastAsia="微软雅黑" w:cs="宋体"/>
          <w:spacing w:val="-7"/>
          <w:sz w:val="24"/>
          <w:szCs w:val="24"/>
        </w:rPr>
        <w:t>供</w:t>
      </w:r>
      <w:r>
        <w:rPr>
          <w:rFonts w:ascii="微软雅黑" w:hAnsi="微软雅黑" w:eastAsia="微软雅黑" w:cs="宋体"/>
          <w:spacing w:val="-6"/>
          <w:sz w:val="24"/>
          <w:szCs w:val="24"/>
        </w:rPr>
        <w:t>倒班宿舍</w:t>
      </w:r>
      <w:r>
        <w:rPr>
          <w:rFonts w:hint="eastAsia" w:ascii="微软雅黑" w:hAnsi="微软雅黑" w:eastAsia="微软雅黑" w:cs="宋体"/>
          <w:spacing w:val="-6"/>
          <w:sz w:val="24"/>
          <w:szCs w:val="24"/>
        </w:rPr>
        <w:t>，</w:t>
      </w:r>
      <w:r>
        <w:rPr>
          <w:rFonts w:ascii="微软雅黑" w:hAnsi="微软雅黑" w:eastAsia="微软雅黑" w:cs="宋体"/>
          <w:spacing w:val="-6"/>
          <w:sz w:val="24"/>
          <w:szCs w:val="24"/>
        </w:rPr>
        <w:t>倒班宿舍为六人间，实习期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>间住宿免费</w:t>
      </w:r>
      <w:r>
        <w:rPr>
          <w:rFonts w:ascii="微软雅黑" w:hAnsi="微软雅黑" w:eastAsia="微软雅黑" w:cs="宋体"/>
          <w:color w:val="auto"/>
          <w:spacing w:val="-11"/>
          <w:sz w:val="24"/>
          <w:szCs w:val="24"/>
        </w:rPr>
        <w:t>，</w:t>
      </w:r>
      <w:r>
        <w:rPr>
          <w:rFonts w:hint="eastAsia" w:ascii="微软雅黑" w:hAnsi="微软雅黑" w:eastAsia="微软雅黑" w:cs="宋体"/>
          <w:color w:val="auto"/>
          <w:spacing w:val="-11"/>
          <w:sz w:val="24"/>
          <w:szCs w:val="24"/>
        </w:rPr>
        <w:t>转正后</w:t>
      </w:r>
      <w:r>
        <w:rPr>
          <w:rFonts w:ascii="微软雅黑" w:hAnsi="微软雅黑" w:eastAsia="微软雅黑" w:cs="宋体"/>
          <w:color w:val="auto"/>
          <w:spacing w:val="-11"/>
          <w:sz w:val="24"/>
          <w:szCs w:val="24"/>
        </w:rPr>
        <w:t>每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 xml:space="preserve">月住宿费 </w:t>
      </w:r>
      <w:r>
        <w:rPr>
          <w:rFonts w:ascii="微软雅黑" w:hAnsi="微软雅黑" w:eastAsia="微软雅黑" w:cs="Calibri"/>
          <w:spacing w:val="-11"/>
          <w:sz w:val="24"/>
          <w:szCs w:val="24"/>
        </w:rPr>
        <w:t xml:space="preserve">100 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>元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。</w:t>
      </w:r>
    </w:p>
    <w:p>
      <w:pPr>
        <w:spacing w:line="235" w:lineRule="auto"/>
        <w:ind w:left="3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Calibri"/>
          <w:spacing w:val="-20"/>
          <w:sz w:val="24"/>
          <w:szCs w:val="24"/>
        </w:rPr>
        <w:t>2</w:t>
      </w:r>
      <w:r>
        <w:rPr>
          <w:rFonts w:ascii="微软雅黑" w:hAnsi="微软雅黑" w:eastAsia="微软雅黑" w:cs="Calibri"/>
          <w:spacing w:val="-16"/>
          <w:sz w:val="24"/>
          <w:szCs w:val="24"/>
        </w:rPr>
        <w:t xml:space="preserve"> </w:t>
      </w:r>
      <w:r>
        <w:rPr>
          <w:rFonts w:ascii="微软雅黑" w:hAnsi="微软雅黑" w:eastAsia="微软雅黑" w:cs="宋体"/>
          <w:spacing w:val="-16"/>
          <w:sz w:val="24"/>
          <w:szCs w:val="24"/>
        </w:rPr>
        <w:t>、薪酬：</w:t>
      </w:r>
    </w:p>
    <w:p>
      <w:pPr>
        <w:spacing w:before="162" w:line="360" w:lineRule="auto"/>
        <w:ind w:firstLine="507" w:firstLineChars="208"/>
        <w:rPr>
          <w:rFonts w:ascii="微软雅黑" w:hAnsi="微软雅黑" w:eastAsia="微软雅黑" w:cs="宋体"/>
          <w:spacing w:val="1"/>
          <w:sz w:val="24"/>
          <w:szCs w:val="24"/>
        </w:rPr>
      </w:pPr>
      <w:r>
        <w:rPr>
          <w:rFonts w:hint="eastAsia" w:ascii="微软雅黑" w:hAnsi="微软雅黑" w:eastAsia="微软雅黑" w:cs="宋体"/>
          <w:spacing w:val="2"/>
          <w:sz w:val="24"/>
          <w:szCs w:val="24"/>
        </w:rPr>
        <w:t xml:space="preserve">新入职员工平均综合收入为 </w:t>
      </w:r>
      <w:r>
        <w:rPr>
          <w:rFonts w:hint="eastAsia" w:ascii="微软雅黑" w:hAnsi="微软雅黑" w:eastAsia="微软雅黑" w:cs="宋体"/>
          <w:spacing w:val="2"/>
          <w:sz w:val="24"/>
          <w:szCs w:val="24"/>
          <w:lang w:eastAsia="zh-CN"/>
        </w:rPr>
        <w:t>4000</w:t>
      </w:r>
      <w:r>
        <w:rPr>
          <w:rFonts w:hint="default" w:ascii="微软雅黑" w:hAnsi="微软雅黑" w:eastAsia="微软雅黑" w:cs="宋体"/>
          <w:spacing w:val="2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宋体"/>
          <w:spacing w:val="2"/>
          <w:sz w:val="24"/>
          <w:szCs w:val="24"/>
          <w:lang w:val="en-US" w:eastAsia="zh-CN"/>
        </w:rPr>
        <w:t>6000</w:t>
      </w:r>
      <w:r>
        <w:rPr>
          <w:rFonts w:hint="eastAsia" w:ascii="微软雅黑" w:hAnsi="微软雅黑" w:eastAsia="微软雅黑" w:cs="宋体"/>
          <w:spacing w:val="1"/>
          <w:sz w:val="24"/>
          <w:szCs w:val="24"/>
        </w:rPr>
        <w:t xml:space="preserve"> 元</w:t>
      </w:r>
      <w:r>
        <w:rPr>
          <w:rFonts w:hint="eastAsia" w:ascii="微软雅黑" w:hAnsi="微软雅黑" w:eastAsia="微软雅黑" w:cs="宋体"/>
          <w:spacing w:val="1"/>
          <w:sz w:val="24"/>
          <w:szCs w:val="24"/>
          <w:lang w:eastAsia="zh-CN"/>
        </w:rPr>
        <w:t>左右</w:t>
      </w:r>
      <w:r>
        <w:rPr>
          <w:rFonts w:hint="eastAsia" w:ascii="微软雅黑" w:hAnsi="微软雅黑" w:eastAsia="微软雅黑" w:cs="宋体"/>
          <w:spacing w:val="1"/>
          <w:sz w:val="24"/>
          <w:szCs w:val="24"/>
        </w:rPr>
        <w:t>。年终根据企业生产经营情况发放年终奖(一般为3-5 个月</w:t>
      </w:r>
      <w:bookmarkStart w:id="0" w:name="_GoBack"/>
      <w:bookmarkEnd w:id="0"/>
      <w:r>
        <w:rPr>
          <w:rFonts w:hint="eastAsia" w:ascii="微软雅黑" w:hAnsi="微软雅黑" w:eastAsia="微软雅黑" w:cs="宋体"/>
          <w:spacing w:val="1"/>
          <w:sz w:val="24"/>
          <w:szCs w:val="24"/>
        </w:rPr>
        <w:t>)。</w:t>
      </w:r>
    </w:p>
    <w:p>
      <w:pPr>
        <w:numPr>
          <w:ilvl w:val="0"/>
          <w:numId w:val="1"/>
        </w:numPr>
        <w:spacing w:line="288" w:lineRule="auto"/>
        <w:ind w:left="28"/>
        <w:rPr>
          <w:rFonts w:ascii="微软雅黑" w:hAnsi="微软雅黑" w:eastAsia="微软雅黑" w:cs="Calibri"/>
          <w:spacing w:val="-20"/>
          <w:sz w:val="24"/>
          <w:szCs w:val="24"/>
        </w:rPr>
      </w:pPr>
      <w:r>
        <w:rPr>
          <w:rFonts w:hint="eastAsia" w:ascii="微软雅黑" w:hAnsi="微软雅黑" w:eastAsia="微软雅黑" w:cs="宋体"/>
          <w:spacing w:val="-20"/>
          <w:sz w:val="24"/>
          <w:szCs w:val="24"/>
        </w:rPr>
        <w:t>常规上班节律</w:t>
      </w:r>
      <w:r>
        <w:rPr>
          <w:rFonts w:hint="eastAsia" w:ascii="微软雅黑" w:hAnsi="微软雅黑" w:eastAsia="微软雅黑" w:cs="Calibri"/>
          <w:spacing w:val="-20"/>
          <w:sz w:val="24"/>
          <w:szCs w:val="24"/>
        </w:rPr>
        <w:t>：</w:t>
      </w:r>
    </w:p>
    <w:p>
      <w:pPr>
        <w:spacing w:before="162" w:line="288" w:lineRule="auto"/>
        <w:ind w:left="505"/>
        <w:rPr>
          <w:rFonts w:hint="eastAsia" w:ascii="微软雅黑" w:hAnsi="微软雅黑" w:eastAsia="微软雅黑" w:cs="宋体"/>
          <w:spacing w:val="2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宋体"/>
          <w:spacing w:val="2"/>
          <w:sz w:val="24"/>
          <w:szCs w:val="24"/>
          <w:lang w:eastAsia="zh-CN"/>
        </w:rPr>
        <w:t>根据工作任务安排加班，夜班。</w:t>
      </w:r>
    </w:p>
    <w:p>
      <w:pPr>
        <w:spacing w:before="182" w:line="221" w:lineRule="auto"/>
        <w:ind w:left="28"/>
        <w:rPr>
          <w:rFonts w:ascii="微软雅黑" w:hAnsi="微软雅黑" w:eastAsia="微软雅黑" w:cs="宋体"/>
          <w:sz w:val="24"/>
          <w:szCs w:val="24"/>
        </w:rPr>
      </w:pPr>
      <w:r>
        <w:rPr>
          <w:rFonts w:hint="eastAsia" w:ascii="微软雅黑" w:hAnsi="微软雅黑" w:eastAsia="微软雅黑" w:cs="Calibri"/>
          <w:spacing w:val="-20"/>
          <w:sz w:val="24"/>
          <w:szCs w:val="24"/>
        </w:rPr>
        <w:t>4、</w:t>
      </w:r>
      <w:r>
        <w:rPr>
          <w:rFonts w:hint="eastAsia" w:ascii="微软雅黑" w:hAnsi="微软雅黑" w:eastAsia="微软雅黑" w:cs="宋体"/>
          <w:spacing w:val="-6"/>
          <w:sz w:val="24"/>
          <w:szCs w:val="24"/>
        </w:rPr>
        <w:t>福利：</w:t>
      </w:r>
    </w:p>
    <w:p>
      <w:pPr>
        <w:spacing w:before="181" w:line="360" w:lineRule="auto"/>
        <w:ind w:left="34" w:firstLine="520" w:firstLineChars="20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10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9"/>
          <w:sz w:val="24"/>
          <w:szCs w:val="24"/>
        </w:rPr>
        <w:t>1</w:t>
      </w:r>
      <w:r>
        <w:rPr>
          <w:rFonts w:ascii="微软雅黑" w:hAnsi="微软雅黑" w:eastAsia="微软雅黑" w:cs="宋体"/>
          <w:spacing w:val="5"/>
          <w:sz w:val="24"/>
          <w:szCs w:val="24"/>
        </w:rPr>
        <w:t>)公司免费提供工作服等劳保用品；</w:t>
      </w:r>
    </w:p>
    <w:p>
      <w:pPr>
        <w:spacing w:before="183" w:line="360" w:lineRule="auto"/>
        <w:ind w:left="34" w:firstLine="568" w:firstLineChars="20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22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11"/>
          <w:sz w:val="24"/>
          <w:szCs w:val="24"/>
        </w:rPr>
        <w:t>2</w:t>
      </w:r>
      <w:r>
        <w:rPr>
          <w:rFonts w:ascii="微软雅黑" w:hAnsi="微软雅黑" w:eastAsia="微软雅黑" w:cs="宋体"/>
          <w:spacing w:val="11"/>
          <w:sz w:val="24"/>
          <w:szCs w:val="24"/>
        </w:rPr>
        <w:t>)中秋、端午、春</w:t>
      </w:r>
      <w:r>
        <w:rPr>
          <w:rFonts w:ascii="微软雅黑" w:hAnsi="微软雅黑" w:eastAsia="微软雅黑" w:cs="宋体"/>
          <w:color w:val="auto"/>
          <w:spacing w:val="11"/>
          <w:sz w:val="24"/>
          <w:szCs w:val="24"/>
        </w:rPr>
        <w:t>节</w:t>
      </w:r>
      <w:r>
        <w:rPr>
          <w:rFonts w:hint="eastAsia" w:ascii="微软雅黑" w:hAnsi="微软雅黑" w:eastAsia="微软雅黑" w:cs="宋体"/>
          <w:color w:val="auto"/>
          <w:spacing w:val="11"/>
          <w:sz w:val="24"/>
          <w:szCs w:val="24"/>
        </w:rPr>
        <w:t>等节日发放</w:t>
      </w:r>
      <w:r>
        <w:rPr>
          <w:rFonts w:ascii="微软雅黑" w:hAnsi="微软雅黑" w:eastAsia="微软雅黑" w:cs="宋体"/>
          <w:color w:val="auto"/>
          <w:spacing w:val="11"/>
          <w:sz w:val="24"/>
          <w:szCs w:val="24"/>
        </w:rPr>
        <w:t>慰问礼</w:t>
      </w:r>
      <w:r>
        <w:rPr>
          <w:rFonts w:ascii="微软雅黑" w:hAnsi="微软雅黑" w:eastAsia="微软雅黑" w:cs="宋体"/>
          <w:spacing w:val="11"/>
          <w:sz w:val="24"/>
          <w:szCs w:val="24"/>
        </w:rPr>
        <w:t>品；</w:t>
      </w:r>
    </w:p>
    <w:p>
      <w:pPr>
        <w:spacing w:before="182" w:line="360" w:lineRule="auto"/>
        <w:ind w:left="34" w:firstLine="528" w:firstLineChars="20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12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7"/>
          <w:sz w:val="24"/>
          <w:szCs w:val="24"/>
        </w:rPr>
        <w:t>3</w:t>
      </w:r>
      <w:r>
        <w:rPr>
          <w:rFonts w:ascii="微软雅黑" w:hAnsi="微软雅黑" w:eastAsia="微软雅黑" w:cs="宋体"/>
          <w:spacing w:val="6"/>
          <w:sz w:val="24"/>
          <w:szCs w:val="24"/>
        </w:rPr>
        <w:t xml:space="preserve">)员工宿舍 </w:t>
      </w:r>
      <w:r>
        <w:rPr>
          <w:rFonts w:ascii="微软雅黑" w:hAnsi="微软雅黑" w:eastAsia="微软雅黑" w:cs="Calibri"/>
          <w:spacing w:val="6"/>
          <w:sz w:val="24"/>
          <w:szCs w:val="24"/>
        </w:rPr>
        <w:t xml:space="preserve">6 </w:t>
      </w:r>
      <w:r>
        <w:rPr>
          <w:rFonts w:ascii="微软雅黑" w:hAnsi="微软雅黑" w:eastAsia="微软雅黑" w:cs="宋体"/>
          <w:spacing w:val="6"/>
          <w:sz w:val="24"/>
          <w:szCs w:val="24"/>
        </w:rPr>
        <w:t>人间，配置空调、独立卫生间、淋浴；</w:t>
      </w:r>
    </w:p>
    <w:p>
      <w:pPr>
        <w:spacing w:before="183" w:line="360" w:lineRule="auto"/>
        <w:ind w:left="34" w:firstLine="544" w:firstLineChars="20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16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15"/>
          <w:sz w:val="24"/>
          <w:szCs w:val="24"/>
        </w:rPr>
        <w:t>4</w:t>
      </w:r>
      <w:r>
        <w:rPr>
          <w:rFonts w:ascii="微软雅黑" w:hAnsi="微软雅黑" w:eastAsia="微软雅黑" w:cs="宋体"/>
          <w:spacing w:val="8"/>
          <w:sz w:val="24"/>
          <w:szCs w:val="24"/>
        </w:rPr>
        <w:t>)配有员工活动中心，体育馆及健身器材等。</w:t>
      </w:r>
    </w:p>
    <w:p>
      <w:pPr>
        <w:spacing w:before="183" w:line="360" w:lineRule="auto"/>
        <w:ind w:left="34" w:firstLine="476" w:firstLineChars="20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-1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-1"/>
          <w:sz w:val="24"/>
          <w:szCs w:val="24"/>
        </w:rPr>
        <w:t>5</w:t>
      </w:r>
      <w:r>
        <w:rPr>
          <w:rFonts w:ascii="微软雅黑" w:hAnsi="微软雅黑" w:eastAsia="微软雅黑" w:cs="宋体"/>
          <w:spacing w:val="-1"/>
          <w:sz w:val="24"/>
          <w:szCs w:val="24"/>
        </w:rPr>
        <w:t>)转正后公司</w:t>
      </w:r>
      <w:r>
        <w:rPr>
          <w:rFonts w:ascii="微软雅黑" w:hAnsi="微软雅黑" w:eastAsia="微软雅黑" w:cs="宋体"/>
          <w:color w:val="auto"/>
          <w:spacing w:val="-1"/>
          <w:sz w:val="24"/>
          <w:szCs w:val="24"/>
        </w:rPr>
        <w:t>直签，</w:t>
      </w:r>
      <w:r>
        <w:rPr>
          <w:rFonts w:hint="eastAsia" w:ascii="微软雅黑" w:hAnsi="微软雅黑" w:eastAsia="微软雅黑" w:cs="宋体"/>
          <w:color w:val="auto"/>
          <w:spacing w:val="-1"/>
          <w:sz w:val="24"/>
          <w:szCs w:val="24"/>
        </w:rPr>
        <w:t>五</w:t>
      </w:r>
      <w:r>
        <w:rPr>
          <w:rFonts w:ascii="微软雅黑" w:hAnsi="微软雅黑" w:eastAsia="微软雅黑" w:cs="宋体"/>
          <w:color w:val="auto"/>
          <w:spacing w:val="-1"/>
          <w:sz w:val="24"/>
          <w:szCs w:val="24"/>
        </w:rPr>
        <w:t>险</w:t>
      </w:r>
      <w:r>
        <w:rPr>
          <w:rFonts w:ascii="微软雅黑" w:hAnsi="微软雅黑" w:eastAsia="微软雅黑" w:cs="宋体"/>
          <w:color w:val="auto"/>
          <w:sz w:val="24"/>
          <w:szCs w:val="24"/>
        </w:rPr>
        <w:t>一金</w:t>
      </w:r>
      <w:r>
        <w:rPr>
          <w:rFonts w:hint="eastAsia" w:ascii="微软雅黑" w:hAnsi="微软雅黑" w:eastAsia="微软雅黑" w:cs="宋体"/>
          <w:color w:val="auto"/>
          <w:sz w:val="24"/>
          <w:szCs w:val="24"/>
        </w:rPr>
        <w:t>。</w:t>
      </w:r>
    </w:p>
    <w:p>
      <w:pPr>
        <w:spacing w:before="183" w:line="360" w:lineRule="auto"/>
        <w:ind w:left="28"/>
        <w:rPr>
          <w:rFonts w:ascii="微软雅黑" w:hAnsi="微软雅黑" w:eastAsia="微软雅黑" w:cs="宋体"/>
          <w:color w:val="auto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微软雅黑" w:hAnsi="微软雅黑" w:eastAsia="微软雅黑" w:cs="宋体"/>
          <w:color w:val="auto"/>
          <w:spacing w:val="-6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五、职业晋升发展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b/>
          <w:spacing w:val="-11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spacing w:val="-11"/>
          <w:sz w:val="24"/>
          <w:szCs w:val="24"/>
        </w:rPr>
        <w:t>1、完善的培养机制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10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9"/>
          <w:sz w:val="24"/>
          <w:szCs w:val="24"/>
        </w:rPr>
        <w:t>1</w:t>
      </w:r>
      <w:r>
        <w:rPr>
          <w:rFonts w:ascii="微软雅黑" w:hAnsi="微软雅黑" w:eastAsia="微软雅黑" w:cs="宋体"/>
          <w:spacing w:val="5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新员工入司培训→“师带徒”→岗位专业培训；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22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11"/>
          <w:sz w:val="24"/>
          <w:szCs w:val="24"/>
        </w:rPr>
        <w:t>2</w:t>
      </w:r>
      <w:r>
        <w:rPr>
          <w:rFonts w:ascii="微软雅黑" w:hAnsi="微软雅黑" w:eastAsia="微软雅黑" w:cs="宋体"/>
          <w:spacing w:val="11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大师工作室培养：长安汽车现拥有大师工作室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>27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个，实现主要工种全覆盖。其中国家级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 xml:space="preserve"> 4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个，省部级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>10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个，市级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>2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个（地区），企业级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>11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个，教学资源丰富，优秀员工可进入工作室深造学习；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12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7"/>
          <w:sz w:val="24"/>
          <w:szCs w:val="24"/>
        </w:rPr>
        <w:t>3</w:t>
      </w:r>
      <w:r>
        <w:rPr>
          <w:rFonts w:ascii="微软雅黑" w:hAnsi="微软雅黑" w:eastAsia="微软雅黑" w:cs="宋体"/>
          <w:spacing w:val="6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长安汽车大学，为每一个岗位打造专属学习、升级道路。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b/>
          <w:spacing w:val="-11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spacing w:val="-11"/>
          <w:sz w:val="24"/>
          <w:szCs w:val="24"/>
        </w:rPr>
        <w:t>2、多元发展渠道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10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9"/>
          <w:sz w:val="24"/>
          <w:szCs w:val="24"/>
        </w:rPr>
        <w:t>1</w:t>
      </w:r>
      <w:r>
        <w:rPr>
          <w:rFonts w:ascii="微软雅黑" w:hAnsi="微软雅黑" w:eastAsia="微软雅黑" w:cs="宋体"/>
          <w:spacing w:val="5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初级工→中级工→高级工→技师→高级技师→特级技师→技能大师→特级技能大师→首席技能大师</w:t>
      </w:r>
      <w:r>
        <w:rPr>
          <w:rFonts w:hint="eastAsia" w:ascii="微软雅黑" w:hAnsi="微软雅黑" w:eastAsia="微软雅黑"/>
          <w:b/>
          <w:bCs/>
          <w:color w:val="0000FF"/>
          <w:kern w:val="2"/>
          <w:sz w:val="24"/>
        </w:rPr>
        <w:t>（享受副总裁待遇）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；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22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11"/>
          <w:sz w:val="24"/>
          <w:szCs w:val="24"/>
        </w:rPr>
        <w:t>2</w:t>
      </w:r>
      <w:r>
        <w:rPr>
          <w:rFonts w:ascii="微软雅黑" w:hAnsi="微软雅黑" w:eastAsia="微软雅黑" w:cs="宋体"/>
          <w:spacing w:val="11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员工→后备班组长→班组长→区长→……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b/>
          <w:i/>
          <w:color w:val="auto"/>
          <w:spacing w:val="-11"/>
          <w:sz w:val="24"/>
          <w:szCs w:val="24"/>
        </w:rPr>
      </w:pPr>
      <w:r>
        <w:rPr>
          <w:rFonts w:hint="eastAsia" w:ascii="微软雅黑" w:hAnsi="微软雅黑" w:eastAsia="微软雅黑" w:cs="宋体"/>
          <w:b/>
          <w:i/>
          <w:color w:val="auto"/>
          <w:spacing w:val="-11"/>
          <w:sz w:val="24"/>
          <w:szCs w:val="24"/>
        </w:rPr>
        <w:t>进阶渠道：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10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9"/>
          <w:sz w:val="24"/>
          <w:szCs w:val="24"/>
        </w:rPr>
        <w:t>1</w:t>
      </w:r>
      <w:r>
        <w:rPr>
          <w:rFonts w:ascii="微软雅黑" w:hAnsi="微软雅黑" w:eastAsia="微软雅黑" w:cs="宋体"/>
          <w:spacing w:val="5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持有与工作岗位对应等级证书的，试用期合格后直接聘任为对应职级；</w:t>
      </w:r>
      <w:r>
        <w:rPr>
          <w:rFonts w:ascii="微软雅黑" w:hAnsi="微软雅黑" w:eastAsia="微软雅黑" w:cs="宋体"/>
          <w:spacing w:val="-11"/>
          <w:sz w:val="24"/>
          <w:szCs w:val="24"/>
        </w:rPr>
        <w:t xml:space="preserve"> 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22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11"/>
          <w:sz w:val="24"/>
          <w:szCs w:val="24"/>
        </w:rPr>
        <w:t>2</w:t>
      </w:r>
      <w:r>
        <w:rPr>
          <w:rFonts w:ascii="微软雅黑" w:hAnsi="微软雅黑" w:eastAsia="微软雅黑" w:cs="宋体"/>
          <w:spacing w:val="11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无论是否持有证书，均可在</w:t>
      </w:r>
      <w:r>
        <w:rPr>
          <w:rFonts w:hint="eastAsia" w:ascii="微软雅黑" w:hAnsi="微软雅黑" w:eastAsia="微软雅黑"/>
          <w:b/>
          <w:bCs/>
          <w:color w:val="0000FF"/>
          <w:kern w:val="2"/>
          <w:sz w:val="24"/>
        </w:rPr>
        <w:t>长安汽车逐年考取</w:t>
      </w:r>
      <w:r>
        <w:rPr>
          <w:rFonts w:hint="eastAsia" w:ascii="微软雅黑" w:hAnsi="微软雅黑" w:eastAsia="微软雅黑"/>
          <w:bCs/>
          <w:color w:val="auto"/>
          <w:kern w:val="2"/>
          <w:sz w:val="24"/>
        </w:rPr>
        <w:t>（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长安汽车为国家认可的职业技能鉴定站）；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spacing w:val="12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7"/>
          <w:sz w:val="24"/>
          <w:szCs w:val="24"/>
        </w:rPr>
        <w:t>3</w:t>
      </w:r>
      <w:r>
        <w:rPr>
          <w:rFonts w:ascii="微软雅黑" w:hAnsi="微软雅黑" w:eastAsia="微软雅黑" w:cs="宋体"/>
          <w:spacing w:val="6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参加技能比赛：工厂级、公司级、兵器装备集团级、国家级、世界级，取得规定名次后可实现技能等级的“跳跃式”发展；</w:t>
      </w:r>
    </w:p>
    <w:p>
      <w:pPr>
        <w:spacing w:before="183" w:line="276" w:lineRule="auto"/>
        <w:ind w:left="28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16"/>
          <w:sz w:val="24"/>
          <w:szCs w:val="24"/>
        </w:rPr>
        <w:t>(</w:t>
      </w:r>
      <w:r>
        <w:rPr>
          <w:rFonts w:ascii="微软雅黑" w:hAnsi="微软雅黑" w:eastAsia="微软雅黑" w:cs="Calibri"/>
          <w:spacing w:val="15"/>
          <w:sz w:val="24"/>
          <w:szCs w:val="24"/>
        </w:rPr>
        <w:t>4</w:t>
      </w:r>
      <w:r>
        <w:rPr>
          <w:rFonts w:ascii="微软雅黑" w:hAnsi="微软雅黑" w:eastAsia="微软雅黑" w:cs="宋体"/>
          <w:spacing w:val="8"/>
          <w:sz w:val="24"/>
          <w:szCs w:val="24"/>
        </w:rPr>
        <w:t>)</w:t>
      </w:r>
      <w:r>
        <w:rPr>
          <w:rFonts w:hint="eastAsia" w:ascii="微软雅黑" w:hAnsi="微软雅黑" w:eastAsia="微软雅黑" w:cs="宋体"/>
          <w:spacing w:val="-11"/>
          <w:sz w:val="24"/>
          <w:szCs w:val="24"/>
        </w:rPr>
        <w:t>参加公开招聘（横向竞聘其它岗位）。</w:t>
      </w:r>
    </w:p>
    <w:p>
      <w:pPr>
        <w:spacing w:before="239" w:line="221" w:lineRule="auto"/>
        <w:ind w:left="32"/>
        <w:outlineLvl w:val="0"/>
        <w:rPr>
          <w:rFonts w:ascii="微软雅黑" w:hAnsi="微软雅黑" w:eastAsia="微软雅黑" w:cs="宋体"/>
          <w:sz w:val="28"/>
          <w:szCs w:val="28"/>
        </w:rPr>
      </w:pPr>
      <w:r>
        <w:rPr>
          <w:rFonts w:hint="eastAsia" w:ascii="微软雅黑" w:hAnsi="微软雅黑" w:eastAsia="微软雅黑" w:cs="宋体"/>
          <w:spacing w:val="-2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六</w:t>
      </w:r>
      <w:r>
        <w:rPr>
          <w:rFonts w:ascii="微软雅黑" w:hAnsi="微软雅黑" w:eastAsia="微软雅黑" w:cs="宋体"/>
          <w:spacing w:val="-2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、</w:t>
      </w:r>
      <w:r>
        <w:rPr>
          <w:rFonts w:ascii="微软雅黑" w:hAnsi="微软雅黑" w:eastAsia="微软雅黑" w:cs="宋体"/>
          <w:spacing w:val="-21"/>
          <w:sz w:val="28"/>
          <w:szCs w:val="28"/>
        </w:rPr>
        <w:t xml:space="preserve"> </w:t>
      </w:r>
      <w:r>
        <w:rPr>
          <w:rFonts w:ascii="微软雅黑" w:hAnsi="微软雅黑" w:eastAsia="微软雅黑" w:cs="宋体"/>
          <w:spacing w:val="-21"/>
          <w:sz w:val="28"/>
          <w:szCs w:val="28"/>
          <w14:textOutline w14:w="5092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工作地点</w:t>
      </w:r>
    </w:p>
    <w:p>
      <w:pPr>
        <w:spacing w:before="153" w:line="220" w:lineRule="auto"/>
        <w:ind w:left="30"/>
        <w:rPr>
          <w:rFonts w:ascii="微软雅黑" w:hAnsi="微软雅黑" w:eastAsia="微软雅黑" w:cs="宋体"/>
          <w:sz w:val="24"/>
          <w:szCs w:val="24"/>
        </w:rPr>
      </w:pPr>
      <w:r>
        <w:rPr>
          <w:rFonts w:ascii="微软雅黑" w:hAnsi="微软雅黑" w:eastAsia="微软雅黑" w:cs="宋体"/>
          <w:spacing w:val="-4"/>
          <w:sz w:val="24"/>
          <w:szCs w:val="24"/>
        </w:rPr>
        <w:t>北京市房山区窦店</w:t>
      </w:r>
      <w:r>
        <w:rPr>
          <w:rFonts w:ascii="微软雅黑" w:hAnsi="微软雅黑" w:eastAsia="微软雅黑" w:cs="宋体"/>
          <w:spacing w:val="-2"/>
          <w:sz w:val="24"/>
          <w:szCs w:val="24"/>
        </w:rPr>
        <w:t xml:space="preserve">镇普安路 </w:t>
      </w:r>
      <w:r>
        <w:rPr>
          <w:rFonts w:ascii="微软雅黑" w:hAnsi="微软雅黑" w:eastAsia="微软雅黑" w:cs="Calibri"/>
          <w:spacing w:val="-2"/>
          <w:sz w:val="24"/>
          <w:szCs w:val="24"/>
        </w:rPr>
        <w:t xml:space="preserve">83 </w:t>
      </w:r>
      <w:r>
        <w:rPr>
          <w:rFonts w:ascii="微软雅黑" w:hAnsi="微软雅黑" w:eastAsia="微软雅黑" w:cs="宋体"/>
          <w:spacing w:val="-2"/>
          <w:sz w:val="24"/>
          <w:szCs w:val="24"/>
        </w:rPr>
        <w:t>号  (北京高端制造业基地核心区内)</w:t>
      </w:r>
    </w:p>
    <w:p>
      <w:pPr>
        <w:rPr>
          <w:rFonts w:ascii="微软雅黑" w:hAnsi="微软雅黑" w:eastAsia="微软雅黑" w:cs="宋体"/>
          <w:color w:val="auto"/>
          <w:spacing w:val="-11"/>
          <w:sz w:val="24"/>
          <w:szCs w:val="24"/>
        </w:rPr>
      </w:pPr>
      <w:r>
        <w:rPr>
          <w:rFonts w:ascii="微软雅黑" w:hAnsi="微软雅黑" w:eastAsia="微软雅黑" w:cs="宋体"/>
          <w:color w:val="auto"/>
          <w:spacing w:val="-11"/>
          <w:sz w:val="24"/>
          <w:szCs w:val="24"/>
        </w:rPr>
        <w:t>交通</w:t>
      </w:r>
      <w:r>
        <w:rPr>
          <w:rFonts w:hint="eastAsia" w:ascii="微软雅黑" w:hAnsi="微软雅黑" w:eastAsia="微软雅黑" w:cs="宋体"/>
          <w:color w:val="auto"/>
          <w:spacing w:val="-11"/>
          <w:sz w:val="24"/>
          <w:szCs w:val="24"/>
        </w:rPr>
        <w:t>情况</w:t>
      </w:r>
      <w:r>
        <w:rPr>
          <w:rFonts w:ascii="微软雅黑" w:hAnsi="微软雅黑" w:eastAsia="微软雅黑" w:cs="宋体"/>
          <w:color w:val="auto"/>
          <w:spacing w:val="-11"/>
          <w:sz w:val="24"/>
          <w:szCs w:val="24"/>
        </w:rPr>
        <w:t xml:space="preserve">： 距离北京城区 </w:t>
      </w:r>
      <w:r>
        <w:rPr>
          <w:rFonts w:ascii="微软雅黑" w:hAnsi="微软雅黑" w:eastAsia="微软雅黑" w:cs="Calibri"/>
          <w:color w:val="auto"/>
          <w:spacing w:val="-11"/>
          <w:sz w:val="24"/>
          <w:szCs w:val="24"/>
        </w:rPr>
        <w:t>40KM</w:t>
      </w:r>
      <w:r>
        <w:rPr>
          <w:rFonts w:ascii="微软雅黑" w:hAnsi="微软雅黑" w:eastAsia="微软雅黑" w:cs="宋体"/>
          <w:color w:val="auto"/>
          <w:spacing w:val="-11"/>
          <w:sz w:val="24"/>
          <w:szCs w:val="24"/>
        </w:rPr>
        <w:t xml:space="preserve">，距离地铁站 </w:t>
      </w:r>
      <w:r>
        <w:rPr>
          <w:rFonts w:ascii="微软雅黑" w:hAnsi="微软雅黑" w:eastAsia="微软雅黑" w:cs="Calibri"/>
          <w:color w:val="auto"/>
          <w:spacing w:val="-11"/>
          <w:sz w:val="24"/>
          <w:szCs w:val="24"/>
        </w:rPr>
        <w:t>11KM</w:t>
      </w:r>
      <w:r>
        <w:rPr>
          <w:rFonts w:ascii="微软雅黑" w:hAnsi="微软雅黑" w:eastAsia="微软雅黑" w:cs="宋体"/>
          <w:color w:val="auto"/>
          <w:spacing w:val="-11"/>
          <w:sz w:val="24"/>
          <w:szCs w:val="24"/>
        </w:rPr>
        <w:t xml:space="preserve">，乘坐房山 </w:t>
      </w:r>
      <w:r>
        <w:rPr>
          <w:rFonts w:ascii="微软雅黑" w:hAnsi="微软雅黑" w:eastAsia="微软雅黑" w:cs="Calibri"/>
          <w:color w:val="auto"/>
          <w:spacing w:val="-11"/>
          <w:sz w:val="24"/>
          <w:szCs w:val="24"/>
        </w:rPr>
        <w:t xml:space="preserve">11 </w:t>
      </w:r>
      <w:r>
        <w:rPr>
          <w:rFonts w:ascii="微软雅黑" w:hAnsi="微软雅黑" w:eastAsia="微软雅黑" w:cs="宋体"/>
          <w:color w:val="auto"/>
          <w:spacing w:val="-11"/>
          <w:sz w:val="24"/>
          <w:szCs w:val="24"/>
        </w:rPr>
        <w:t>路可到达公司。</w:t>
      </w:r>
    </w:p>
    <w:p>
      <w:pPr>
        <w:rPr>
          <w:rFonts w:ascii="微软雅黑" w:hAnsi="微软雅黑" w:eastAsia="微软雅黑" w:cs="宋体"/>
          <w:color w:val="auto"/>
          <w:spacing w:val="-11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auto"/>
          <w:spacing w:val="-11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auto"/>
          <w:spacing w:val="-11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auto"/>
          <w:spacing w:val="-11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auto"/>
          <w:spacing w:val="-11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15235" cy="1886585"/>
            <wp:effectExtent l="0" t="0" r="18415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42870" cy="1895475"/>
            <wp:effectExtent l="0" t="0" r="508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2075" cy="1941830"/>
            <wp:effectExtent l="0" t="0" r="1587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72385" cy="1945640"/>
            <wp:effectExtent l="0" t="0" r="18415" b="165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联系人：陈老师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18225023489（微信同号） 简历投递添加微信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邮箱：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"mailto:changanjessica@163.com"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changanjessica@163.com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sectPr>
          <w:pgSz w:w="11907" w:h="16839"/>
          <w:pgMar w:top="1431" w:right="1737" w:bottom="0" w:left="1783" w:header="0" w:footer="0" w:gutter="0"/>
          <w:cols w:space="720" w:num="1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30655" cy="1889125"/>
            <wp:effectExtent l="0" t="0" r="17145" b="1587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" w:line="6525" w:lineRule="exact"/>
        <w:textAlignment w:val="center"/>
        <w:rPr>
          <w:rFonts w:ascii="微软雅黑" w:hAnsi="微软雅黑" w:eastAsia="微软雅黑"/>
        </w:rPr>
      </w:pPr>
    </w:p>
    <w:p>
      <w:pPr>
        <w:spacing w:line="6228" w:lineRule="exact"/>
        <w:textAlignment w:val="center"/>
        <w:rPr>
          <w:rFonts w:ascii="微软雅黑" w:hAnsi="微软雅黑" w:eastAsia="微软雅黑"/>
        </w:rPr>
      </w:pPr>
    </w:p>
    <w:sectPr>
      <w:pgSz w:w="11907" w:h="16839"/>
      <w:pgMar w:top="1431" w:right="1734" w:bottom="0" w:left="178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长安引力体">
    <w:altName w:val="宋体"/>
    <w:panose1 w:val="020005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D5D228"/>
    <w:multiLevelType w:val="singleLevel"/>
    <w:tmpl w:val="E9D5D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table" w:customStyle="1" w:styleId="7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页眉 字符"/>
    <w:basedOn w:val="4"/>
    <w:link w:val="3"/>
    <w:qFormat/>
    <w:uiPriority w:val="0"/>
    <w:rPr>
      <w:rFonts w:eastAsia="Arial"/>
      <w:snapToGrid w:val="0"/>
      <w:color w:val="000000"/>
      <w:sz w:val="18"/>
      <w:szCs w:val="18"/>
    </w:rPr>
  </w:style>
  <w:style w:type="character" w:customStyle="1" w:styleId="9">
    <w:name w:val="页脚 字符"/>
    <w:basedOn w:val="4"/>
    <w:link w:val="2"/>
    <w:qFormat/>
    <w:uiPriority w:val="0"/>
    <w:rPr>
      <w:rFonts w:eastAsia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31"/>
    <customShpInfo spid="_x0000_s1032"/>
    <customShpInfo spid="_x0000_s1033"/>
    <customShpInfo spid="_x0000_s1034"/>
    <customShpInfo spid="_x0000_s1035"/>
    <customShpInfo spid="_x0000_s1030"/>
    <customShpInfo spid="_x0000_s1036"/>
    <customShpInfo spid="_x0000_s1037"/>
    <customShpInfo spid="_x0000_s1038"/>
    <customShpInfo spid="_x0000_s1039"/>
    <customShpInfo spid="_x0000_s104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CHANGAN</Company>
  <Pages>5</Pages>
  <Words>247</Words>
  <Characters>1414</Characters>
  <Lines>11</Lines>
  <Paragraphs>3</Paragraphs>
  <ScaleCrop>false</ScaleCrop>
  <LinksUpToDate>false</LinksUpToDate>
  <CharactersWithSpaces>1658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2022-04-04T09:51:00Z</dcterms:created>
  <dc:creator>User</dc:creator>
  <cp:lastModifiedBy>iPhone</cp:lastModifiedBy>
  <dcterms:modified xsi:type="dcterms:W3CDTF">2024-03-13T10:04:53Z</dcterms:modified>
  <dc:title>北京长安汽车公司招聘简章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2022-05-21T16:37:00Z</vt:filetime>
  </property>
  <property fmtid="{D5CDD505-2E9C-101B-9397-08002B2CF9AE}" pid="4" name="KSOProductBuildVer">
    <vt:lpwstr>2052-12.9.1</vt:lpwstr>
  </property>
  <property fmtid="{D5CDD505-2E9C-101B-9397-08002B2CF9AE}" pid="5" name="ICV">
    <vt:lpwstr>1BEAD4640D6B47CCBBECD135B19B5782_13</vt:lpwstr>
  </property>
</Properties>
</file>