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32"/>
        </w:rPr>
      </w:pPr>
      <w:r>
        <w:rPr>
          <w:rFonts w:hint="eastAsia" w:ascii="宋体" w:hAnsi="宋体" w:eastAsia="宋体"/>
          <w:b/>
          <w:sz w:val="44"/>
          <w:szCs w:val="32"/>
        </w:rPr>
        <w:t>关于转发《关于组织2022年度</w:t>
      </w:r>
    </w:p>
    <w:p>
      <w:pPr>
        <w:spacing w:line="360" w:lineRule="auto"/>
        <w:jc w:val="center"/>
        <w:rPr>
          <w:rFonts w:ascii="宋体" w:hAnsi="宋体" w:eastAsia="宋体"/>
          <w:b/>
          <w:sz w:val="44"/>
          <w:szCs w:val="32"/>
        </w:rPr>
      </w:pPr>
      <w:r>
        <w:rPr>
          <w:rFonts w:hint="eastAsia" w:ascii="宋体" w:hAnsi="宋体" w:eastAsia="宋体"/>
          <w:b/>
          <w:sz w:val="44"/>
          <w:szCs w:val="32"/>
        </w:rPr>
        <w:t>政工业务考试有关工作的通知》的通知</w:t>
      </w:r>
    </w:p>
    <w:p>
      <w:pPr>
        <w:spacing w:line="360" w:lineRule="auto"/>
        <w:jc w:val="center"/>
        <w:rPr>
          <w:rFonts w:ascii="宋体" w:hAnsi="宋体" w:eastAsia="宋体"/>
          <w:b/>
          <w:sz w:val="24"/>
          <w:szCs w:val="32"/>
        </w:rPr>
      </w:pPr>
    </w:p>
    <w:p>
      <w:pPr>
        <w:spacing w:line="360" w:lineRule="auto"/>
        <w:rPr>
          <w:rFonts w:ascii="仿宋" w:hAnsi="仿宋" w:eastAsia="仿宋"/>
          <w:sz w:val="32"/>
          <w:szCs w:val="32"/>
        </w:rPr>
      </w:pPr>
      <w:r>
        <w:rPr>
          <w:rFonts w:hint="eastAsia" w:ascii="仿宋" w:hAnsi="仿宋" w:eastAsia="仿宋"/>
          <w:sz w:val="32"/>
          <w:szCs w:val="32"/>
        </w:rPr>
        <w:t>各单位，全体教职工：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近日，承德市政工职评办下发了《关于组织2022年度政工业务考试有关工作的通知》，现转发给大家，请符合条件且需要参加考试的人员认真阅读，并报名参加考试。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请报名人员于7月11日上午9:00-</w:t>
      </w:r>
      <w:r>
        <w:rPr>
          <w:rFonts w:ascii="仿宋" w:hAnsi="仿宋" w:eastAsia="仿宋"/>
          <w:sz w:val="32"/>
          <w:szCs w:val="32"/>
        </w:rPr>
        <w:t>12</w:t>
      </w:r>
      <w:r>
        <w:rPr>
          <w:rFonts w:hint="eastAsia" w:ascii="仿宋" w:hAnsi="仿宋" w:eastAsia="仿宋"/>
          <w:sz w:val="32"/>
          <w:szCs w:val="32"/>
        </w:rPr>
        <w:t>:00，将2022年度河北省政工业务考试报名表(3份)、2022年度承德市政工专业职务业务考试人员信息表（1份）、小二寸免冠照片2张,底色不限）报送至党群工作处（行政楼303）。</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电子版同时报送邮箱：</w:t>
      </w:r>
      <w:r>
        <w:fldChar w:fldCharType="begin"/>
      </w:r>
      <w:r>
        <w:instrText xml:space="preserve"> HYPERLINK "mailto:1057052009@qq.com" </w:instrText>
      </w:r>
      <w:r>
        <w:fldChar w:fldCharType="separate"/>
      </w:r>
      <w:r>
        <w:rPr>
          <w:rStyle w:val="8"/>
          <w:rFonts w:ascii="仿宋" w:hAnsi="仿宋" w:eastAsia="仿宋"/>
          <w:sz w:val="32"/>
          <w:szCs w:val="32"/>
        </w:rPr>
        <w:t>1057052009@qq.com</w:t>
      </w:r>
      <w:r>
        <w:rPr>
          <w:rStyle w:val="8"/>
          <w:rFonts w:ascii="仿宋" w:hAnsi="仿宋" w:eastAsia="仿宋"/>
          <w:sz w:val="32"/>
          <w:szCs w:val="32"/>
        </w:rPr>
        <w:fldChar w:fldCharType="end"/>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联系人：刘航，电话：</w:t>
      </w:r>
      <w:r>
        <w:rPr>
          <w:rFonts w:ascii="仿宋" w:hAnsi="仿宋" w:eastAsia="仿宋"/>
          <w:sz w:val="32"/>
          <w:szCs w:val="32"/>
        </w:rPr>
        <w:t>17803330425</w:t>
      </w:r>
      <w:r>
        <w:rPr>
          <w:rFonts w:hint="eastAsia" w:ascii="仿宋" w:hAnsi="仿宋" w:eastAsia="仿宋"/>
          <w:sz w:val="32"/>
          <w:szCs w:val="32"/>
        </w:rPr>
        <w:t xml:space="preserve">。 </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附件：1.关于组织2022年度政工业务考试有关工作的通知</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w:t>
      </w:r>
      <w:r>
        <w:rPr>
          <w:rFonts w:hint="eastAsia" w:ascii="仿宋" w:hAnsi="仿宋" w:eastAsia="仿宋"/>
          <w:sz w:val="32"/>
          <w:szCs w:val="32"/>
        </w:rPr>
        <w:t>河北省政工专业职务评定办法</w:t>
      </w:r>
    </w:p>
    <w:p>
      <w:pPr>
        <w:spacing w:line="360" w:lineRule="auto"/>
        <w:ind w:right="960" w:firstLine="640" w:firstLineChars="200"/>
        <w:jc w:val="right"/>
        <w:rPr>
          <w:rFonts w:ascii="仿宋" w:hAnsi="仿宋" w:eastAsia="仿宋"/>
          <w:sz w:val="32"/>
          <w:szCs w:val="32"/>
        </w:rPr>
      </w:pPr>
    </w:p>
    <w:p>
      <w:pPr>
        <w:spacing w:line="360" w:lineRule="auto"/>
        <w:ind w:right="960" w:firstLine="640" w:firstLineChars="200"/>
        <w:jc w:val="right"/>
        <w:rPr>
          <w:rFonts w:ascii="仿宋" w:hAnsi="仿宋" w:eastAsia="仿宋"/>
          <w:sz w:val="32"/>
          <w:szCs w:val="32"/>
        </w:rPr>
      </w:pPr>
      <w:r>
        <w:rPr>
          <w:rFonts w:hint="eastAsia" w:ascii="仿宋" w:hAnsi="仿宋" w:eastAsia="仿宋"/>
          <w:sz w:val="32"/>
          <w:szCs w:val="32"/>
        </w:rPr>
        <w:t>党群工作处</w:t>
      </w:r>
    </w:p>
    <w:p>
      <w:pPr>
        <w:spacing w:line="360" w:lineRule="auto"/>
        <w:ind w:right="320" w:firstLine="640" w:firstLineChars="200"/>
        <w:jc w:val="right"/>
        <w:rPr>
          <w:rFonts w:ascii="仿宋" w:hAnsi="仿宋" w:eastAsia="仿宋"/>
          <w:sz w:val="32"/>
          <w:szCs w:val="32"/>
        </w:rPr>
      </w:pPr>
      <w:r>
        <w:rPr>
          <w:rFonts w:hint="eastAsia" w:ascii="仿宋" w:hAnsi="仿宋" w:eastAsia="仿宋"/>
          <w:sz w:val="32"/>
          <w:szCs w:val="32"/>
        </w:rPr>
        <w:t>2022年7月4日</w:t>
      </w:r>
    </w:p>
    <w:p>
      <w:pPr>
        <w:spacing w:line="600" w:lineRule="exact"/>
        <w:rPr>
          <w:rFonts w:ascii="黑体" w:hAnsi="黑体" w:eastAsia="黑体" w:cs="Times New Roman"/>
          <w:sz w:val="32"/>
          <w:szCs w:val="32"/>
        </w:rPr>
      </w:pPr>
    </w:p>
    <w:p>
      <w:pPr>
        <w:snapToGrid w:val="0"/>
        <w:spacing w:line="580" w:lineRule="exact"/>
        <w:jc w:val="center"/>
        <w:rPr>
          <w:rFonts w:ascii="仿宋_GB2312" w:hAnsi="Times New Roman" w:eastAsia="仿宋_GB2312" w:cs="Times New Roman"/>
          <w:sz w:val="32"/>
          <w:szCs w:val="32"/>
        </w:rPr>
      </w:pPr>
    </w:p>
    <w:p>
      <w:pPr>
        <w:snapToGrid w:val="0"/>
        <w:spacing w:line="580" w:lineRule="exact"/>
        <w:jc w:val="center"/>
        <w:rPr>
          <w:rFonts w:ascii="仿宋_GB2312" w:hAnsi="Times New Roman" w:eastAsia="仿宋_GB2312" w:cs="Times New Roman"/>
          <w:sz w:val="32"/>
          <w:szCs w:val="32"/>
        </w:rPr>
      </w:pPr>
    </w:p>
    <w:p>
      <w:pPr>
        <w:snapToGrid w:val="0"/>
        <w:spacing w:line="58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drawing>
          <wp:anchor distT="0" distB="0" distL="114300" distR="114300" simplePos="0" relativeHeight="251659264" behindDoc="1" locked="0" layoutInCell="1" allowOverlap="1">
            <wp:simplePos x="0" y="0"/>
            <wp:positionH relativeFrom="column">
              <wp:posOffset>-959485</wp:posOffset>
            </wp:positionH>
            <wp:positionV relativeFrom="paragraph">
              <wp:posOffset>-1630680</wp:posOffset>
            </wp:positionV>
            <wp:extent cx="7563485" cy="11163300"/>
            <wp:effectExtent l="0" t="0" r="0" b="0"/>
            <wp:wrapNone/>
            <wp:docPr id="1" name="图片 1"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红头"/>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563485" cy="11163300"/>
                    </a:xfrm>
                    <a:prstGeom prst="rect">
                      <a:avLst/>
                    </a:prstGeom>
                    <a:noFill/>
                    <a:ln>
                      <a:noFill/>
                    </a:ln>
                    <a:effectLst/>
                  </pic:spPr>
                </pic:pic>
              </a:graphicData>
            </a:graphic>
          </wp:anchor>
        </w:drawing>
      </w:r>
    </w:p>
    <w:p>
      <w:pPr>
        <w:snapToGrid w:val="0"/>
        <w:spacing w:line="780" w:lineRule="exact"/>
        <w:jc w:val="center"/>
        <w:rPr>
          <w:rFonts w:ascii="仿宋_GB2312" w:hAnsi="Times New Roman" w:eastAsia="仿宋_GB2312" w:cs="Times New Roman"/>
          <w:sz w:val="32"/>
          <w:szCs w:val="32"/>
        </w:rPr>
      </w:pPr>
    </w:p>
    <w:p>
      <w:pPr>
        <w:snapToGrid w:val="0"/>
        <w:spacing w:line="580" w:lineRule="exact"/>
        <w:rPr>
          <w:rFonts w:ascii="仿宋_GB2312" w:hAnsi="Times New Roman" w:eastAsia="仿宋_GB2312" w:cs="Times New Roman"/>
          <w:sz w:val="32"/>
          <w:szCs w:val="32"/>
        </w:rPr>
      </w:pPr>
    </w:p>
    <w:p>
      <w:pPr>
        <w:snapToGrid w:val="0"/>
        <w:jc w:val="center"/>
        <w:rPr>
          <w:rFonts w:ascii="仿宋_GB2312" w:hAnsi="Times New Roman" w:eastAsia="仿宋_GB2312" w:cs="Times New Roman"/>
          <w:sz w:val="32"/>
          <w:szCs w:val="32"/>
        </w:rPr>
      </w:pPr>
    </w:p>
    <w:p>
      <w:pPr>
        <w:snapToGrid w:val="0"/>
        <w:spacing w:line="580" w:lineRule="exact"/>
        <w:jc w:val="center"/>
        <w:rPr>
          <w:rFonts w:ascii="仿宋_GB2312" w:hAnsi="仿宋_GB2312" w:eastAsia="仿宋_GB2312" w:cs="仿宋_GB2312"/>
          <w:sz w:val="32"/>
          <w:szCs w:val="24"/>
        </w:rPr>
      </w:pPr>
    </w:p>
    <w:p>
      <w:pPr>
        <w:snapToGrid w:val="0"/>
        <w:spacing w:line="580" w:lineRule="exact"/>
        <w:jc w:val="center"/>
        <w:rPr>
          <w:rFonts w:ascii="仿宋_GB2312" w:hAnsi="仿宋_GB2312" w:eastAsia="仿宋_GB2312" w:cs="仿宋_GB2312"/>
          <w:sz w:val="32"/>
          <w:szCs w:val="24"/>
        </w:rPr>
      </w:pPr>
      <w:r>
        <w:rPr>
          <w:rFonts w:hint="eastAsia" w:ascii="仿宋_GB2312" w:hAnsi="仿宋_GB2312" w:eastAsia="仿宋_GB2312" w:cs="仿宋_GB2312"/>
          <w:sz w:val="32"/>
          <w:szCs w:val="24"/>
        </w:rPr>
        <w:t>承政职办〔2022〕</w:t>
      </w:r>
      <w:r>
        <w:rPr>
          <w:rFonts w:hint="eastAsia" w:ascii="仿宋_GB2312" w:hAnsi="仿宋_GB2312" w:eastAsia="仿宋_GB2312" w:cs="仿宋_GB2312"/>
          <w:color w:val="000000"/>
          <w:sz w:val="32"/>
          <w:szCs w:val="24"/>
        </w:rPr>
        <w:t>17</w:t>
      </w:r>
      <w:r>
        <w:rPr>
          <w:rFonts w:hint="eastAsia" w:ascii="仿宋_GB2312" w:hAnsi="仿宋_GB2312" w:eastAsia="仿宋_GB2312" w:cs="仿宋_GB2312"/>
          <w:sz w:val="32"/>
          <w:szCs w:val="24"/>
        </w:rPr>
        <w:t>号</w:t>
      </w:r>
    </w:p>
    <w:p>
      <w:pPr>
        <w:snapToGrid w:val="0"/>
        <w:spacing w:line="580" w:lineRule="exact"/>
        <w:jc w:val="center"/>
        <w:rPr>
          <w:rFonts w:ascii="Times New Roman" w:hAnsi="Times New Roman" w:eastAsia="黑体" w:cs="Times New Roman"/>
          <w:sz w:val="36"/>
          <w:szCs w:val="24"/>
        </w:rPr>
      </w:pPr>
    </w:p>
    <w:p>
      <w:pPr>
        <w:snapToGrid w:val="0"/>
        <w:spacing w:line="58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关于组织2022年度政工业务考试有关工作的</w:t>
      </w:r>
    </w:p>
    <w:p>
      <w:pPr>
        <w:snapToGrid w:val="0"/>
        <w:spacing w:line="580" w:lineRule="exact"/>
        <w:jc w:val="center"/>
        <w:rPr>
          <w:rFonts w:ascii="方正小标宋简体" w:hAnsi="宋体" w:eastAsia="方正小标宋简体" w:cs="宋体"/>
          <w:bCs/>
          <w:sz w:val="44"/>
          <w:szCs w:val="44"/>
        </w:rPr>
      </w:pPr>
      <w:r>
        <w:rPr>
          <w:rFonts w:hint="eastAsia" w:ascii="方正小标宋_GBK" w:hAnsi="方正小标宋_GBK" w:eastAsia="方正小标宋_GBK" w:cs="方正小标宋_GBK"/>
          <w:bCs/>
          <w:sz w:val="44"/>
          <w:szCs w:val="44"/>
        </w:rPr>
        <w:t>通  知</w:t>
      </w:r>
    </w:p>
    <w:p>
      <w:pPr>
        <w:snapToGrid w:val="0"/>
        <w:spacing w:line="580" w:lineRule="exact"/>
        <w:rPr>
          <w:rFonts w:ascii="仿宋_GB2312" w:hAnsi="仿宋" w:eastAsia="仿宋_GB2312" w:cs="Times New Roman"/>
          <w:sz w:val="32"/>
          <w:szCs w:val="32"/>
        </w:rPr>
      </w:pPr>
    </w:p>
    <w:p>
      <w:pPr>
        <w:spacing w:line="600" w:lineRule="exact"/>
        <w:rPr>
          <w:rFonts w:ascii="仿宋_GB2312" w:hAnsi="仿宋" w:eastAsia="仿宋_GB2312" w:cs="Times New Roman"/>
          <w:sz w:val="32"/>
          <w:szCs w:val="32"/>
        </w:rPr>
      </w:pPr>
      <w:r>
        <w:rPr>
          <w:rFonts w:hint="eastAsia" w:ascii="仿宋_GB2312" w:hAnsi="仿宋" w:eastAsia="仿宋_GB2312" w:cs="Times New Roman"/>
          <w:sz w:val="32"/>
          <w:szCs w:val="32"/>
        </w:rPr>
        <w:t>各初级评审委员会，市直各相关单位：</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按照省高级评审委员会通知要求，结合我市工作实际，确保2022年度政工业务考试工作顺利进行，现将有关工作通知如下：</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一、严格把握申报人员的资格条件</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1.事业单位须是管理岗位主要从事思想政治工作的人员参加政工业务考试，其他人员一律不许参加。</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2.事业单位申报人员须具备《河北省政工专业职务评定办法》规定的管理岗位条件，不符合条件的人员不许参加考试。</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3.事业单位初次参加政工专业评审的人员，按照《河北省政工专业职务评定办法》第7条规定执行。</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4.企业参评人员，按照《河北省政工专业职务评定办法》有关规定执行。</w:t>
      </w:r>
    </w:p>
    <w:p>
      <w:pPr>
        <w:autoSpaceDN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二、组织政工业务考试</w:t>
      </w:r>
    </w:p>
    <w:p>
      <w:pPr>
        <w:autoSpaceDN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1.试卷分类。试卷分为高级试卷和中级试卷两类。</w:t>
      </w:r>
    </w:p>
    <w:p>
      <w:pPr>
        <w:autoSpaceDN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2.组织报名。7月4日至7月1</w:t>
      </w:r>
      <w:r>
        <w:rPr>
          <w:rFonts w:ascii="仿宋_GB2312" w:hAnsi="仿宋" w:eastAsia="仿宋_GB2312" w:cs="Times New Roman"/>
          <w:sz w:val="32"/>
          <w:szCs w:val="32"/>
        </w:rPr>
        <w:t>2</w:t>
      </w:r>
      <w:r>
        <w:rPr>
          <w:rFonts w:hint="eastAsia" w:ascii="仿宋_GB2312" w:hAnsi="仿宋" w:eastAsia="仿宋_GB2312" w:cs="Times New Roman"/>
          <w:sz w:val="32"/>
          <w:szCs w:val="32"/>
        </w:rPr>
        <w:t>日，各县（市、区）政工职评办按照属地原则组织本辖区（本系统）企事业单位申报高级、中级政工专业职务人员报名。省国资委系统政工业务考试由省国资委统一组织。省属高校按照属地原则就近报名考试。</w:t>
      </w:r>
    </w:p>
    <w:p>
      <w:pPr>
        <w:autoSpaceDN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3.组织考试。7月23日（星期六）上午9:30—11:30，由市政工职评办组织政工业务考试，全市统一</w:t>
      </w:r>
      <w:r>
        <w:rPr>
          <w:rFonts w:ascii="仿宋_GB2312" w:hAnsi="仿宋" w:eastAsia="仿宋_GB2312" w:cs="Times New Roman"/>
          <w:sz w:val="32"/>
          <w:szCs w:val="32"/>
        </w:rPr>
        <w:t>设</w:t>
      </w:r>
      <w:r>
        <w:rPr>
          <w:rFonts w:hint="eastAsia" w:ascii="仿宋_GB2312" w:hAnsi="仿宋" w:eastAsia="仿宋_GB2312" w:cs="Times New Roman"/>
          <w:sz w:val="32"/>
          <w:szCs w:val="32"/>
        </w:rPr>
        <w:t>置一个</w:t>
      </w:r>
      <w:r>
        <w:rPr>
          <w:rFonts w:ascii="仿宋_GB2312" w:hAnsi="仿宋" w:eastAsia="仿宋_GB2312" w:cs="Times New Roman"/>
          <w:sz w:val="32"/>
          <w:szCs w:val="32"/>
        </w:rPr>
        <w:t>考点</w:t>
      </w:r>
      <w:r>
        <w:rPr>
          <w:rFonts w:hint="eastAsia" w:ascii="仿宋_GB2312" w:hAnsi="仿宋" w:eastAsia="仿宋_GB2312" w:cs="Times New Roman"/>
          <w:sz w:val="32"/>
          <w:szCs w:val="32"/>
        </w:rPr>
        <w:t>，严格按照疫情防控要求做好考场准备工作，</w:t>
      </w:r>
      <w:r>
        <w:rPr>
          <w:rFonts w:ascii="仿宋_GB2312" w:hAnsi="仿宋" w:eastAsia="仿宋_GB2312" w:cs="Times New Roman"/>
          <w:sz w:val="32"/>
          <w:szCs w:val="32"/>
        </w:rPr>
        <w:t>每</w:t>
      </w:r>
      <w:r>
        <w:rPr>
          <w:rFonts w:hint="eastAsia" w:ascii="仿宋_GB2312" w:hAnsi="仿宋" w:eastAsia="仿宋_GB2312" w:cs="Times New Roman"/>
          <w:sz w:val="32"/>
          <w:szCs w:val="32"/>
        </w:rPr>
        <w:t>30</w:t>
      </w:r>
      <w:r>
        <w:rPr>
          <w:rFonts w:ascii="仿宋_GB2312" w:hAnsi="仿宋" w:eastAsia="仿宋_GB2312" w:cs="Times New Roman"/>
          <w:sz w:val="32"/>
          <w:szCs w:val="32"/>
        </w:rPr>
        <w:t>人为一标准考场，每考场最多安排</w:t>
      </w:r>
      <w:r>
        <w:rPr>
          <w:rFonts w:hint="eastAsia" w:ascii="仿宋_GB2312" w:hAnsi="仿宋" w:eastAsia="仿宋_GB2312" w:cs="Times New Roman"/>
          <w:sz w:val="32"/>
          <w:szCs w:val="32"/>
        </w:rPr>
        <w:t>30名考生</w:t>
      </w:r>
      <w:r>
        <w:rPr>
          <w:rFonts w:ascii="仿宋_GB2312" w:hAnsi="仿宋" w:eastAsia="仿宋_GB2312" w:cs="Times New Roman"/>
          <w:sz w:val="32"/>
          <w:szCs w:val="32"/>
        </w:rPr>
        <w:t>，</w:t>
      </w:r>
      <w:r>
        <w:rPr>
          <w:rFonts w:hint="eastAsia" w:ascii="仿宋_GB2312" w:hAnsi="仿宋" w:eastAsia="仿宋_GB2312" w:cs="Times New Roman"/>
          <w:sz w:val="32"/>
          <w:szCs w:val="32"/>
        </w:rPr>
        <w:t>监考人员不少于4人</w:t>
      </w:r>
      <w:r>
        <w:rPr>
          <w:rFonts w:ascii="仿宋_GB2312" w:hAnsi="仿宋" w:eastAsia="仿宋_GB2312" w:cs="Times New Roman"/>
          <w:sz w:val="32"/>
          <w:szCs w:val="32"/>
        </w:rPr>
        <w:t>。</w:t>
      </w:r>
      <w:r>
        <w:rPr>
          <w:rFonts w:hint="eastAsia" w:ascii="仿宋_GB2312" w:hAnsi="仿宋" w:eastAsia="仿宋_GB2312" w:cs="Times New Roman"/>
          <w:sz w:val="32"/>
          <w:szCs w:val="32"/>
        </w:rPr>
        <w:t>省政工职评办统一将密封的试卷提前一天送达各考点。</w:t>
      </w:r>
    </w:p>
    <w:p>
      <w:pPr>
        <w:autoSpaceDN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4.考试题型。高级政工师考试分为“简述题”和“思考论述题”两种题型；中级政工师考试分为“简述题”和“公文演讲题”两种题型，由考生结合学习工作实际做答。</w:t>
      </w:r>
    </w:p>
    <w:p>
      <w:pPr>
        <w:autoSpaceDN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三、2022年政工专业职务评审名额</w:t>
      </w:r>
    </w:p>
    <w:p>
      <w:pPr>
        <w:autoSpaceDN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2022年的政工专业职务评审，按2014年省人社厅下达的名额办理。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四、合格证有效期限</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政工业务考试合格证有效期分别是：考试成绩60分—70分，当年有效；71分—90分，两年内有效；91分以上，三年内有效。</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五、有关费用</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2022年度政工业务考试及评审工作所需费用，由各政工职评办承担。</w:t>
      </w:r>
    </w:p>
    <w:p>
      <w:pPr>
        <w:spacing w:line="600" w:lineRule="exact"/>
        <w:ind w:firstLine="640" w:firstLineChars="200"/>
        <w:rPr>
          <w:rFonts w:ascii="仿宋_GB2312" w:hAnsi="仿宋" w:eastAsia="仿宋_GB2312" w:cs="Times New Roman"/>
          <w:sz w:val="32"/>
          <w:szCs w:val="32"/>
        </w:rPr>
      </w:pPr>
    </w:p>
    <w:p>
      <w:pPr>
        <w:spacing w:line="60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附件：1.202</w:t>
      </w:r>
      <w:r>
        <w:rPr>
          <w:rFonts w:hint="eastAsia" w:ascii="仿宋_GB2312" w:hAnsi="仿宋" w:eastAsia="仿宋_GB2312" w:cs="Times New Roman"/>
          <w:sz w:val="32"/>
          <w:szCs w:val="32"/>
        </w:rPr>
        <w:t>2</w:t>
      </w:r>
      <w:r>
        <w:rPr>
          <w:rFonts w:ascii="仿宋_GB2312" w:hAnsi="仿宋" w:eastAsia="仿宋_GB2312" w:cs="Times New Roman"/>
          <w:sz w:val="32"/>
          <w:szCs w:val="32"/>
        </w:rPr>
        <w:t>年度河北省政工业务考试报名表</w:t>
      </w:r>
    </w:p>
    <w:p>
      <w:pPr>
        <w:spacing w:line="600" w:lineRule="exact"/>
        <w:ind w:left="1895" w:leftChars="750" w:hanging="320" w:hangingChars="100"/>
        <w:rPr>
          <w:rFonts w:ascii="仿宋_GB2312" w:hAnsi="仿宋" w:eastAsia="仿宋_GB2312" w:cs="Times New Roman"/>
          <w:sz w:val="32"/>
          <w:szCs w:val="32"/>
        </w:rPr>
      </w:pPr>
      <w:r>
        <w:rPr>
          <w:rFonts w:ascii="仿宋_GB2312" w:hAnsi="仿宋" w:eastAsia="仿宋_GB2312" w:cs="Times New Roman"/>
          <w:sz w:val="32"/>
          <w:szCs w:val="32"/>
        </w:rPr>
        <w:t>2.20</w:t>
      </w:r>
      <w:r>
        <w:rPr>
          <w:rFonts w:hint="eastAsia" w:ascii="仿宋_GB2312" w:hAnsi="仿宋" w:eastAsia="仿宋_GB2312" w:cs="Times New Roman"/>
          <w:sz w:val="32"/>
          <w:szCs w:val="32"/>
        </w:rPr>
        <w:t>22</w:t>
      </w:r>
      <w:r>
        <w:rPr>
          <w:rFonts w:ascii="仿宋_GB2312" w:hAnsi="仿宋" w:eastAsia="仿宋_GB2312" w:cs="Times New Roman"/>
          <w:sz w:val="32"/>
          <w:szCs w:val="32"/>
        </w:rPr>
        <w:t>年度承德市政工专业职务业务考试人员信息表（高级，正高级）</w:t>
      </w:r>
    </w:p>
    <w:p>
      <w:pPr>
        <w:spacing w:line="600" w:lineRule="exact"/>
        <w:ind w:left="1895" w:leftChars="750" w:hanging="320" w:hangingChars="100"/>
        <w:rPr>
          <w:rFonts w:ascii="仿宋_GB2312" w:hAnsi="仿宋" w:eastAsia="仿宋_GB2312" w:cs="Times New Roman"/>
          <w:sz w:val="32"/>
          <w:szCs w:val="32"/>
        </w:rPr>
      </w:pPr>
      <w:r>
        <w:rPr>
          <w:rFonts w:ascii="仿宋_GB2312" w:hAnsi="仿宋" w:eastAsia="仿宋_GB2312" w:cs="Times New Roman"/>
          <w:sz w:val="32"/>
          <w:szCs w:val="32"/>
        </w:rPr>
        <w:t>3.20</w:t>
      </w:r>
      <w:r>
        <w:rPr>
          <w:rFonts w:hint="eastAsia" w:ascii="仿宋_GB2312" w:hAnsi="仿宋" w:eastAsia="仿宋_GB2312" w:cs="Times New Roman"/>
          <w:sz w:val="32"/>
          <w:szCs w:val="32"/>
        </w:rPr>
        <w:t>22</w:t>
      </w:r>
      <w:r>
        <w:rPr>
          <w:rFonts w:ascii="仿宋_GB2312" w:hAnsi="仿宋" w:eastAsia="仿宋_GB2312" w:cs="Times New Roman"/>
          <w:sz w:val="32"/>
          <w:szCs w:val="32"/>
        </w:rPr>
        <w:t>年度承德市政工专业职务业务考试人员信息表（政工师</w:t>
      </w:r>
      <w:r>
        <w:rPr>
          <w:rFonts w:hint="eastAsia" w:ascii="仿宋_GB2312" w:hAnsi="仿宋" w:eastAsia="仿宋_GB2312" w:cs="Times New Roman"/>
          <w:sz w:val="32"/>
          <w:szCs w:val="32"/>
        </w:rPr>
        <w:t xml:space="preserve">)   </w:t>
      </w:r>
    </w:p>
    <w:p>
      <w:pPr>
        <w:tabs>
          <w:tab w:val="left" w:pos="8460"/>
        </w:tabs>
        <w:spacing w:line="600" w:lineRule="exact"/>
        <w:ind w:left="4160" w:hanging="4160" w:hangingChars="1300"/>
        <w:rPr>
          <w:rFonts w:ascii="仿宋_GB2312" w:hAnsi="仿宋" w:eastAsia="仿宋_GB2312" w:cs="Times New Roman"/>
          <w:sz w:val="32"/>
          <w:szCs w:val="32"/>
        </w:rPr>
      </w:pPr>
    </w:p>
    <w:p>
      <w:pPr>
        <w:tabs>
          <w:tab w:val="left" w:pos="8460"/>
        </w:tabs>
        <w:spacing w:line="600" w:lineRule="exact"/>
        <w:ind w:left="4160" w:hanging="4160" w:hangingChars="1300"/>
        <w:rPr>
          <w:rFonts w:ascii="Times New Roman" w:hAnsi="Times New Roman" w:eastAsia="仿宋_GB2312" w:cs="Times New Roman"/>
          <w:sz w:val="32"/>
          <w:szCs w:val="24"/>
        </w:rPr>
      </w:pPr>
      <w:r>
        <w:rPr>
          <w:rFonts w:hint="eastAsia" w:ascii="仿宋_GB2312" w:hAnsi="仿宋" w:eastAsia="仿宋_GB2312" w:cs="Times New Roman"/>
          <w:sz w:val="32"/>
          <w:szCs w:val="32"/>
        </w:rPr>
        <w:t xml:space="preserve">                      </w:t>
      </w:r>
      <w:r>
        <w:rPr>
          <w:rFonts w:hint="eastAsia" w:ascii="Times New Roman" w:hAnsi="Times New Roman" w:eastAsia="仿宋_GB2312" w:cs="Times New Roman"/>
          <w:sz w:val="32"/>
          <w:szCs w:val="24"/>
        </w:rPr>
        <w:t>承德市思想政治工作人员专业</w:t>
      </w:r>
    </w:p>
    <w:p>
      <w:pPr>
        <w:spacing w:line="600" w:lineRule="exact"/>
        <w:ind w:firstLine="640" w:firstLineChars="200"/>
        <w:rPr>
          <w:rFonts w:ascii="仿宋_GB2312" w:hAnsi="仿宋" w:eastAsia="仿宋_GB2312" w:cs="Times New Roman"/>
          <w:sz w:val="32"/>
          <w:szCs w:val="32"/>
        </w:rPr>
      </w:pPr>
      <w:r>
        <w:rPr>
          <w:rFonts w:hint="eastAsia" w:ascii="Times New Roman" w:hAnsi="Times New Roman" w:eastAsia="仿宋_GB2312" w:cs="Times New Roman"/>
          <w:sz w:val="32"/>
          <w:szCs w:val="24"/>
        </w:rPr>
        <w:t xml:space="preserve">                  职务评定工作领导小组办公室</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 xml:space="preserve">                        2022年7月4日</w:t>
      </w:r>
    </w:p>
    <w:p>
      <w:pPr>
        <w:spacing w:line="600" w:lineRule="exact"/>
        <w:rPr>
          <w:rFonts w:ascii="黑体" w:hAnsi="黑体" w:eastAsia="黑体" w:cs="Times New Roman"/>
          <w:sz w:val="32"/>
          <w:szCs w:val="32"/>
        </w:rPr>
      </w:pPr>
      <w:r>
        <w:rPr>
          <w:rFonts w:hint="eastAsia" w:ascii="仿宋_GB2312" w:hAnsi="仿宋" w:eastAsia="仿宋_GB2312" w:cs="Times New Roman"/>
          <w:sz w:val="32"/>
          <w:szCs w:val="32"/>
        </w:rPr>
        <w:br w:type="page"/>
      </w:r>
      <w:r>
        <w:rPr>
          <w:rFonts w:hint="eastAsia" w:ascii="黑体" w:hAnsi="黑体" w:eastAsia="黑体" w:cs="Times New Roman"/>
          <w:sz w:val="32"/>
          <w:szCs w:val="32"/>
        </w:rPr>
        <w:t>附件1</w:t>
      </w:r>
    </w:p>
    <w:p>
      <w:pPr>
        <w:spacing w:before="360" w:beforeLines="150" w:after="120" w:afterLines="50" w:line="500" w:lineRule="exact"/>
        <w:jc w:val="center"/>
        <w:rPr>
          <w:rFonts w:ascii="黑体" w:hAnsi="黑体" w:eastAsia="黑体" w:cs="黑体"/>
          <w:sz w:val="44"/>
          <w:szCs w:val="44"/>
        </w:rPr>
      </w:pPr>
      <w:r>
        <w:rPr>
          <w:rFonts w:hint="eastAsia" w:ascii="黑体" w:hAnsi="黑体" w:eastAsia="黑体" w:cs="黑体"/>
          <w:sz w:val="44"/>
          <w:szCs w:val="44"/>
        </w:rPr>
        <w:t>2022年度河北省政工业务考试报名表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439"/>
        <w:gridCol w:w="20"/>
        <w:gridCol w:w="1020"/>
        <w:gridCol w:w="91"/>
        <w:gridCol w:w="817"/>
        <w:gridCol w:w="1132"/>
        <w:gridCol w:w="1078"/>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0"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姓名</w:t>
            </w:r>
          </w:p>
        </w:tc>
        <w:tc>
          <w:tcPr>
            <w:tcW w:w="1439" w:type="dxa"/>
            <w:vAlign w:val="center"/>
          </w:tcPr>
          <w:p>
            <w:pPr>
              <w:jc w:val="center"/>
              <w:rPr>
                <w:rFonts w:ascii="楷体_GB2312" w:hAnsi="楷体_GB2312" w:eastAsia="楷体_GB2312" w:cs="楷体_GB2312"/>
                <w:sz w:val="28"/>
                <w:szCs w:val="28"/>
              </w:rPr>
            </w:pPr>
          </w:p>
        </w:tc>
        <w:tc>
          <w:tcPr>
            <w:tcW w:w="1131" w:type="dxa"/>
            <w:gridSpan w:val="3"/>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性别</w:t>
            </w:r>
          </w:p>
        </w:tc>
        <w:tc>
          <w:tcPr>
            <w:tcW w:w="817" w:type="dxa"/>
            <w:vAlign w:val="center"/>
          </w:tcPr>
          <w:p>
            <w:pPr>
              <w:jc w:val="center"/>
              <w:rPr>
                <w:rFonts w:ascii="楷体_GB2312" w:hAnsi="楷体_GB2312" w:eastAsia="楷体_GB2312" w:cs="楷体_GB2312"/>
                <w:sz w:val="28"/>
                <w:szCs w:val="28"/>
              </w:rPr>
            </w:pPr>
          </w:p>
        </w:tc>
        <w:tc>
          <w:tcPr>
            <w:tcW w:w="1132"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出生</w:t>
            </w:r>
          </w:p>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年月</w:t>
            </w:r>
          </w:p>
        </w:tc>
        <w:tc>
          <w:tcPr>
            <w:tcW w:w="1078" w:type="dxa"/>
            <w:vAlign w:val="center"/>
          </w:tcPr>
          <w:p>
            <w:pPr>
              <w:jc w:val="center"/>
              <w:rPr>
                <w:rFonts w:ascii="楷体_GB2312" w:hAnsi="楷体_GB2312" w:eastAsia="楷体_GB2312" w:cs="楷体_GB2312"/>
                <w:sz w:val="28"/>
                <w:szCs w:val="28"/>
              </w:rPr>
            </w:pPr>
          </w:p>
        </w:tc>
        <w:tc>
          <w:tcPr>
            <w:tcW w:w="1978" w:type="dxa"/>
            <w:vMerge w:val="restart"/>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贴</w:t>
            </w:r>
          </w:p>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照</w:t>
            </w:r>
          </w:p>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片</w:t>
            </w:r>
          </w:p>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60"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毕业学校</w:t>
            </w:r>
          </w:p>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及学历</w:t>
            </w:r>
          </w:p>
        </w:tc>
        <w:tc>
          <w:tcPr>
            <w:tcW w:w="3387" w:type="dxa"/>
            <w:gridSpan w:val="5"/>
            <w:vAlign w:val="center"/>
          </w:tcPr>
          <w:p>
            <w:pPr>
              <w:jc w:val="center"/>
              <w:rPr>
                <w:rFonts w:ascii="楷体_GB2312" w:hAnsi="楷体_GB2312" w:eastAsia="楷体_GB2312" w:cs="楷体_GB2312"/>
                <w:sz w:val="28"/>
                <w:szCs w:val="28"/>
              </w:rPr>
            </w:pPr>
          </w:p>
        </w:tc>
        <w:tc>
          <w:tcPr>
            <w:tcW w:w="1132"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所学</w:t>
            </w:r>
          </w:p>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专业</w:t>
            </w:r>
          </w:p>
        </w:tc>
        <w:tc>
          <w:tcPr>
            <w:tcW w:w="1078" w:type="dxa"/>
            <w:vAlign w:val="center"/>
          </w:tcPr>
          <w:p>
            <w:pPr>
              <w:jc w:val="center"/>
              <w:rPr>
                <w:rFonts w:ascii="楷体_GB2312" w:hAnsi="楷体_GB2312" w:eastAsia="楷体_GB2312" w:cs="楷体_GB2312"/>
                <w:sz w:val="28"/>
                <w:szCs w:val="28"/>
              </w:rPr>
            </w:pPr>
          </w:p>
        </w:tc>
        <w:tc>
          <w:tcPr>
            <w:tcW w:w="1978" w:type="dxa"/>
            <w:vMerge w:val="continue"/>
            <w:vAlign w:val="center"/>
          </w:tcPr>
          <w:p>
            <w:pPr>
              <w:jc w:val="center"/>
              <w:rPr>
                <w:rFonts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360"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身份证号</w:t>
            </w:r>
          </w:p>
        </w:tc>
        <w:tc>
          <w:tcPr>
            <w:tcW w:w="3387" w:type="dxa"/>
            <w:gridSpan w:val="5"/>
            <w:vAlign w:val="center"/>
          </w:tcPr>
          <w:p>
            <w:pPr>
              <w:jc w:val="center"/>
              <w:rPr>
                <w:rFonts w:ascii="楷体_GB2312" w:hAnsi="楷体_GB2312" w:eastAsia="楷体_GB2312" w:cs="楷体_GB2312"/>
                <w:sz w:val="28"/>
                <w:szCs w:val="28"/>
              </w:rPr>
            </w:pPr>
          </w:p>
        </w:tc>
        <w:tc>
          <w:tcPr>
            <w:tcW w:w="1132"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参加工作年月</w:t>
            </w:r>
          </w:p>
        </w:tc>
        <w:tc>
          <w:tcPr>
            <w:tcW w:w="1078" w:type="dxa"/>
            <w:vAlign w:val="center"/>
          </w:tcPr>
          <w:p>
            <w:pPr>
              <w:jc w:val="center"/>
              <w:rPr>
                <w:rFonts w:ascii="楷体_GB2312" w:hAnsi="楷体_GB2312" w:eastAsia="楷体_GB2312" w:cs="楷体_GB2312"/>
                <w:sz w:val="28"/>
                <w:szCs w:val="28"/>
              </w:rPr>
            </w:pPr>
          </w:p>
        </w:tc>
        <w:tc>
          <w:tcPr>
            <w:tcW w:w="1978" w:type="dxa"/>
            <w:vMerge w:val="continue"/>
            <w:vAlign w:val="center"/>
          </w:tcPr>
          <w:p>
            <w:pPr>
              <w:jc w:val="center"/>
              <w:rPr>
                <w:rFonts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360"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现任专</w:t>
            </w:r>
          </w:p>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业职务</w:t>
            </w:r>
          </w:p>
        </w:tc>
        <w:tc>
          <w:tcPr>
            <w:tcW w:w="1459" w:type="dxa"/>
            <w:gridSpan w:val="2"/>
            <w:vAlign w:val="center"/>
          </w:tcPr>
          <w:p>
            <w:pPr>
              <w:jc w:val="center"/>
              <w:rPr>
                <w:rFonts w:ascii="楷体_GB2312" w:hAnsi="楷体_GB2312" w:eastAsia="楷体_GB2312" w:cs="楷体_GB2312"/>
                <w:sz w:val="28"/>
                <w:szCs w:val="28"/>
              </w:rPr>
            </w:pPr>
          </w:p>
        </w:tc>
        <w:tc>
          <w:tcPr>
            <w:tcW w:w="1020"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申报专业职务</w:t>
            </w:r>
          </w:p>
        </w:tc>
        <w:tc>
          <w:tcPr>
            <w:tcW w:w="2040" w:type="dxa"/>
            <w:gridSpan w:val="3"/>
            <w:vAlign w:val="center"/>
          </w:tcPr>
          <w:p>
            <w:pPr>
              <w:jc w:val="center"/>
              <w:rPr>
                <w:rFonts w:ascii="楷体_GB2312" w:hAnsi="楷体_GB2312" w:eastAsia="楷体_GB2312" w:cs="楷体_GB2312"/>
                <w:sz w:val="28"/>
                <w:szCs w:val="28"/>
              </w:rPr>
            </w:pPr>
          </w:p>
        </w:tc>
        <w:tc>
          <w:tcPr>
            <w:tcW w:w="1078"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管理岗位级别</w:t>
            </w:r>
          </w:p>
        </w:tc>
        <w:tc>
          <w:tcPr>
            <w:tcW w:w="1978" w:type="dxa"/>
            <w:vAlign w:val="center"/>
          </w:tcPr>
          <w:p>
            <w:pPr>
              <w:jc w:val="center"/>
              <w:rPr>
                <w:rFonts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60"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工作单位及职务</w:t>
            </w:r>
          </w:p>
        </w:tc>
        <w:tc>
          <w:tcPr>
            <w:tcW w:w="4519" w:type="dxa"/>
            <w:gridSpan w:val="6"/>
            <w:vAlign w:val="center"/>
          </w:tcPr>
          <w:p>
            <w:pPr>
              <w:rPr>
                <w:rFonts w:ascii="楷体_GB2312" w:hAnsi="楷体_GB2312" w:eastAsia="楷体_GB2312" w:cs="楷体_GB2312"/>
                <w:sz w:val="28"/>
                <w:szCs w:val="28"/>
              </w:rPr>
            </w:pPr>
          </w:p>
        </w:tc>
        <w:tc>
          <w:tcPr>
            <w:tcW w:w="1078"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单位</w:t>
            </w:r>
          </w:p>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性质</w:t>
            </w:r>
          </w:p>
        </w:tc>
        <w:tc>
          <w:tcPr>
            <w:tcW w:w="1978" w:type="dxa"/>
            <w:vAlign w:val="center"/>
          </w:tcPr>
          <w:p>
            <w:pPr>
              <w:jc w:val="center"/>
              <w:rPr>
                <w:rFonts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0" w:hRule="atLeast"/>
        </w:trPr>
        <w:tc>
          <w:tcPr>
            <w:tcW w:w="1360"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单位意见</w:t>
            </w:r>
          </w:p>
        </w:tc>
        <w:tc>
          <w:tcPr>
            <w:tcW w:w="7575" w:type="dxa"/>
            <w:gridSpan w:val="8"/>
            <w:vAlign w:val="center"/>
          </w:tcPr>
          <w:p>
            <w:pPr>
              <w:rPr>
                <w:rFonts w:ascii="楷体_GB2312" w:hAnsi="楷体_GB2312" w:eastAsia="楷体_GB2312" w:cs="楷体_GB2312"/>
                <w:sz w:val="28"/>
                <w:szCs w:val="28"/>
              </w:rPr>
            </w:pPr>
          </w:p>
          <w:p>
            <w:pPr>
              <w:rPr>
                <w:rFonts w:ascii="楷体_GB2312" w:hAnsi="楷体_GB2312" w:eastAsia="楷体_GB2312" w:cs="楷体_GB2312"/>
                <w:sz w:val="28"/>
                <w:szCs w:val="28"/>
              </w:rPr>
            </w:pPr>
          </w:p>
          <w:p>
            <w:pPr>
              <w:rPr>
                <w:rFonts w:ascii="楷体_GB2312" w:hAnsi="楷体_GB2312" w:eastAsia="楷体_GB2312" w:cs="楷体_GB2312"/>
                <w:sz w:val="28"/>
                <w:szCs w:val="28"/>
              </w:rPr>
            </w:pPr>
          </w:p>
          <w:p>
            <w:pPr>
              <w:rPr>
                <w:rFonts w:ascii="楷体_GB2312" w:hAnsi="楷体_GB2312" w:eastAsia="楷体_GB2312" w:cs="楷体_GB2312"/>
                <w:sz w:val="28"/>
                <w:szCs w:val="28"/>
              </w:rPr>
            </w:pPr>
          </w:p>
          <w:p>
            <w:pPr>
              <w:jc w:val="center"/>
              <w:rPr>
                <w:rFonts w:ascii="楷体_GB2312" w:hAnsi="楷体_GB2312" w:eastAsia="楷体_GB2312" w:cs="楷体_GB2312"/>
                <w:sz w:val="28"/>
                <w:szCs w:val="28"/>
              </w:rPr>
            </w:pPr>
          </w:p>
          <w:p>
            <w:pPr>
              <w:rPr>
                <w:rFonts w:ascii="楷体_GB2312" w:hAnsi="楷体_GB2312" w:eastAsia="楷体_GB2312" w:cs="楷体_GB2312"/>
                <w:sz w:val="28"/>
                <w:szCs w:val="28"/>
              </w:rPr>
            </w:pPr>
          </w:p>
          <w:p>
            <w:pPr>
              <w:rPr>
                <w:rFonts w:ascii="楷体_GB2312" w:hAnsi="楷体_GB2312" w:eastAsia="楷体_GB2312" w:cs="楷体_GB2312"/>
                <w:sz w:val="28"/>
                <w:szCs w:val="28"/>
              </w:rPr>
            </w:pPr>
          </w:p>
          <w:p>
            <w:pPr>
              <w:rPr>
                <w:rFonts w:ascii="楷体_GB2312" w:hAnsi="楷体_GB2312" w:eastAsia="楷体_GB2312" w:cs="楷体_GB2312"/>
                <w:sz w:val="28"/>
                <w:szCs w:val="28"/>
              </w:rPr>
            </w:pPr>
          </w:p>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 xml:space="preserve">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360" w:type="dxa"/>
            <w:vAlign w:val="center"/>
          </w:tcPr>
          <w:p>
            <w:pPr>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备  注</w:t>
            </w:r>
          </w:p>
        </w:tc>
        <w:tc>
          <w:tcPr>
            <w:tcW w:w="7575" w:type="dxa"/>
            <w:gridSpan w:val="8"/>
            <w:vAlign w:val="center"/>
          </w:tcPr>
          <w:p>
            <w:pPr>
              <w:jc w:val="center"/>
              <w:rPr>
                <w:rFonts w:ascii="楷体_GB2312" w:hAnsi="楷体_GB2312" w:eastAsia="楷体_GB2312" w:cs="楷体_GB2312"/>
                <w:sz w:val="28"/>
                <w:szCs w:val="28"/>
              </w:rPr>
            </w:pPr>
          </w:p>
        </w:tc>
      </w:tr>
    </w:tbl>
    <w:p>
      <w:pPr>
        <w:snapToGrid w:val="0"/>
        <w:spacing w:line="580" w:lineRule="exact"/>
        <w:rPr>
          <w:rFonts w:ascii="仿宋_GB2312" w:hAnsi="仿宋" w:eastAsia="仿宋_GB2312" w:cs="Times New Roman"/>
          <w:sz w:val="32"/>
          <w:szCs w:val="32"/>
        </w:rPr>
      </w:pPr>
    </w:p>
    <w:p>
      <w:pPr>
        <w:snapToGrid w:val="0"/>
        <w:spacing w:line="580" w:lineRule="exact"/>
        <w:ind w:firstLine="640" w:firstLineChars="200"/>
        <w:rPr>
          <w:rFonts w:ascii="仿宋_GB2312" w:hAnsi="仿宋" w:eastAsia="仿宋_GB2312" w:cs="Times New Roman"/>
          <w:sz w:val="32"/>
          <w:szCs w:val="32"/>
        </w:rPr>
        <w:sectPr>
          <w:footerReference r:id="rId3" w:type="default"/>
          <w:pgSz w:w="11910" w:h="16840"/>
          <w:pgMar w:top="1814" w:right="1531" w:bottom="1701" w:left="1531" w:header="0" w:footer="1371" w:gutter="0"/>
          <w:cols w:space="720" w:num="1"/>
        </w:sectPr>
      </w:pPr>
    </w:p>
    <w:p>
      <w:pPr>
        <w:spacing w:before="56"/>
        <w:jc w:val="left"/>
        <w:rPr>
          <w:rFonts w:ascii="黑体" w:hAnsi="Calibri" w:eastAsia="黑体" w:cs="Times New Roman"/>
          <w:spacing w:val="-19"/>
          <w:sz w:val="32"/>
        </w:rPr>
      </w:pPr>
      <w:r>
        <w:rPr>
          <w:rFonts w:hint="eastAsia" w:ascii="黑体" w:hAnsi="Calibri" w:eastAsia="黑体" w:cs="Times New Roman"/>
          <w:spacing w:val="-27"/>
          <w:sz w:val="32"/>
        </w:rPr>
        <w:t>附件</w:t>
      </w:r>
      <w:r>
        <w:rPr>
          <w:rFonts w:hint="eastAsia" w:ascii="黑体" w:hAnsi="Calibri" w:eastAsia="黑体" w:cs="Times New Roman"/>
          <w:spacing w:val="-19"/>
          <w:sz w:val="32"/>
        </w:rPr>
        <w:t>2</w:t>
      </w:r>
    </w:p>
    <w:p>
      <w:pPr>
        <w:spacing w:before="56"/>
        <w:ind w:left="366"/>
        <w:jc w:val="center"/>
        <w:rPr>
          <w:rFonts w:ascii="方正小标宋_GBK" w:hAnsi="方正小标宋_GBK" w:eastAsia="方正小标宋_GBK" w:cs="方正小标宋_GBK"/>
          <w:spacing w:val="-19"/>
          <w:sz w:val="36"/>
          <w:szCs w:val="36"/>
        </w:rPr>
      </w:pPr>
      <w:r>
        <w:rPr>
          <w:rFonts w:hint="eastAsia" w:ascii="方正小标宋_GBK" w:hAnsi="方正小标宋_GBK" w:eastAsia="方正小标宋_GBK" w:cs="方正小标宋_GBK"/>
          <w:sz w:val="36"/>
          <w:szCs w:val="36"/>
        </w:rPr>
        <w:t>2022年度承德市政工专业职务业务考试人员信息表（高级，正高级）</w:t>
      </w:r>
    </w:p>
    <w:p>
      <w:pPr>
        <w:spacing w:before="7"/>
        <w:jc w:val="left"/>
        <w:rPr>
          <w:rFonts w:ascii="方正小标宋简体" w:hAnsi="Calibri" w:eastAsia="仿宋_GB2312" w:cs="Times New Roman"/>
          <w:sz w:val="6"/>
        </w:rPr>
      </w:pPr>
    </w:p>
    <w:tbl>
      <w:tblPr>
        <w:tblStyle w:val="6"/>
        <w:tblW w:w="14436"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6"/>
        <w:gridCol w:w="954"/>
        <w:gridCol w:w="1174"/>
        <w:gridCol w:w="796"/>
        <w:gridCol w:w="1090"/>
        <w:gridCol w:w="1369"/>
        <w:gridCol w:w="1160"/>
        <w:gridCol w:w="2642"/>
        <w:gridCol w:w="2529"/>
        <w:gridCol w:w="1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66" w:type="dxa"/>
            <w:tcBorders>
              <w:bottom w:val="single" w:color="000000" w:sz="2" w:space="0"/>
              <w:right w:val="single" w:color="000000" w:sz="2" w:space="0"/>
            </w:tcBorders>
            <w:vAlign w:val="center"/>
          </w:tcPr>
          <w:p>
            <w:pPr>
              <w:jc w:val="center"/>
              <w:rPr>
                <w:rFonts w:ascii="黑体" w:hAnsi="黑体" w:eastAsia="黑体" w:cs="黑体"/>
                <w:sz w:val="24"/>
                <w:szCs w:val="24"/>
                <w:lang w:val="zh-CN" w:bidi="zh-CN"/>
              </w:rPr>
            </w:pPr>
            <w:r>
              <w:rPr>
                <w:rFonts w:ascii="黑体" w:hAnsi="黑体" w:eastAsia="黑体" w:cs="黑体"/>
                <w:sz w:val="24"/>
                <w:szCs w:val="24"/>
                <w:lang w:val="zh-CN" w:bidi="zh-CN"/>
              </w:rPr>
              <w:t>考场号</w:t>
            </w:r>
          </w:p>
        </w:tc>
        <w:tc>
          <w:tcPr>
            <w:tcW w:w="954" w:type="dxa"/>
            <w:tcBorders>
              <w:left w:val="single" w:color="000000" w:sz="2" w:space="0"/>
              <w:bottom w:val="single" w:color="000000" w:sz="2" w:space="0"/>
              <w:right w:val="single" w:color="000000" w:sz="2" w:space="0"/>
            </w:tcBorders>
            <w:vAlign w:val="center"/>
          </w:tcPr>
          <w:p>
            <w:pPr>
              <w:jc w:val="center"/>
              <w:rPr>
                <w:rFonts w:ascii="黑体" w:hAnsi="黑体" w:eastAsia="黑体" w:cs="黑体"/>
                <w:sz w:val="24"/>
                <w:szCs w:val="24"/>
                <w:lang w:val="zh-CN" w:bidi="zh-CN"/>
              </w:rPr>
            </w:pPr>
            <w:r>
              <w:rPr>
                <w:rFonts w:ascii="黑体" w:hAnsi="黑体" w:eastAsia="黑体" w:cs="黑体"/>
                <w:sz w:val="24"/>
                <w:szCs w:val="24"/>
                <w:lang w:val="zh-CN" w:bidi="zh-CN"/>
              </w:rPr>
              <w:t>座位号</w:t>
            </w:r>
          </w:p>
        </w:tc>
        <w:tc>
          <w:tcPr>
            <w:tcW w:w="1174" w:type="dxa"/>
            <w:tcBorders>
              <w:left w:val="single" w:color="000000" w:sz="2" w:space="0"/>
              <w:bottom w:val="single" w:color="000000" w:sz="2" w:space="0"/>
              <w:right w:val="single" w:color="000000" w:sz="2" w:space="0"/>
            </w:tcBorders>
            <w:vAlign w:val="center"/>
          </w:tcPr>
          <w:p>
            <w:pPr>
              <w:jc w:val="center"/>
              <w:rPr>
                <w:rFonts w:ascii="黑体" w:hAnsi="黑体" w:eastAsia="黑体" w:cs="黑体"/>
                <w:sz w:val="24"/>
                <w:szCs w:val="24"/>
                <w:lang w:val="zh-CN" w:bidi="zh-CN"/>
              </w:rPr>
            </w:pPr>
            <w:r>
              <w:rPr>
                <w:rFonts w:ascii="黑体" w:hAnsi="黑体" w:eastAsia="黑体" w:cs="黑体"/>
                <w:sz w:val="24"/>
                <w:szCs w:val="24"/>
                <w:lang w:val="zh-CN" w:bidi="zh-CN"/>
              </w:rPr>
              <w:t>姓名</w:t>
            </w:r>
          </w:p>
        </w:tc>
        <w:tc>
          <w:tcPr>
            <w:tcW w:w="796" w:type="dxa"/>
            <w:tcBorders>
              <w:left w:val="single" w:color="000000" w:sz="2" w:space="0"/>
              <w:bottom w:val="single" w:color="000000" w:sz="2" w:space="0"/>
              <w:right w:val="single" w:color="000000" w:sz="2" w:space="0"/>
            </w:tcBorders>
            <w:vAlign w:val="center"/>
          </w:tcPr>
          <w:p>
            <w:pPr>
              <w:jc w:val="center"/>
              <w:rPr>
                <w:rFonts w:ascii="黑体" w:hAnsi="黑体" w:eastAsia="黑体" w:cs="黑体"/>
                <w:sz w:val="24"/>
                <w:szCs w:val="24"/>
                <w:lang w:val="zh-CN" w:bidi="zh-CN"/>
              </w:rPr>
            </w:pPr>
            <w:r>
              <w:rPr>
                <w:rFonts w:ascii="黑体" w:hAnsi="黑体" w:eastAsia="黑体" w:cs="黑体"/>
                <w:sz w:val="24"/>
                <w:szCs w:val="24"/>
                <w:lang w:val="zh-CN" w:bidi="zh-CN"/>
              </w:rPr>
              <w:t>性别</w:t>
            </w:r>
          </w:p>
        </w:tc>
        <w:tc>
          <w:tcPr>
            <w:tcW w:w="1090" w:type="dxa"/>
            <w:tcBorders>
              <w:left w:val="single" w:color="000000" w:sz="2" w:space="0"/>
              <w:bottom w:val="single" w:color="000000" w:sz="2" w:space="0"/>
              <w:right w:val="single" w:color="000000" w:sz="2" w:space="0"/>
            </w:tcBorders>
            <w:vAlign w:val="center"/>
          </w:tcPr>
          <w:p>
            <w:pPr>
              <w:jc w:val="center"/>
              <w:rPr>
                <w:rFonts w:ascii="黑体" w:hAnsi="黑体" w:eastAsia="黑体" w:cs="黑体"/>
                <w:sz w:val="24"/>
                <w:szCs w:val="24"/>
                <w:lang w:val="zh-CN" w:bidi="zh-CN"/>
              </w:rPr>
            </w:pPr>
            <w:r>
              <w:rPr>
                <w:rFonts w:ascii="黑体" w:hAnsi="黑体" w:eastAsia="黑体" w:cs="黑体"/>
                <w:sz w:val="24"/>
                <w:szCs w:val="24"/>
                <w:lang w:val="zh-CN" w:bidi="zh-CN"/>
              </w:rPr>
              <w:t>考号</w:t>
            </w:r>
          </w:p>
        </w:tc>
        <w:tc>
          <w:tcPr>
            <w:tcW w:w="1369" w:type="dxa"/>
            <w:tcBorders>
              <w:left w:val="single" w:color="000000" w:sz="2" w:space="0"/>
              <w:bottom w:val="single" w:color="000000" w:sz="2" w:space="0"/>
              <w:right w:val="single" w:color="000000" w:sz="2" w:space="0"/>
            </w:tcBorders>
            <w:vAlign w:val="center"/>
          </w:tcPr>
          <w:p>
            <w:pPr>
              <w:jc w:val="center"/>
              <w:rPr>
                <w:rFonts w:ascii="黑体" w:hAnsi="黑体" w:eastAsia="黑体" w:cs="黑体"/>
                <w:sz w:val="24"/>
                <w:szCs w:val="24"/>
                <w:lang w:val="zh-CN" w:bidi="zh-CN"/>
              </w:rPr>
            </w:pPr>
            <w:r>
              <w:rPr>
                <w:rFonts w:ascii="黑体" w:hAnsi="黑体" w:eastAsia="黑体" w:cs="黑体"/>
                <w:sz w:val="24"/>
                <w:szCs w:val="24"/>
                <w:lang w:val="zh-CN" w:bidi="zh-CN"/>
              </w:rPr>
              <w:t>申报专业职务级别</w:t>
            </w:r>
          </w:p>
        </w:tc>
        <w:tc>
          <w:tcPr>
            <w:tcW w:w="1160" w:type="dxa"/>
            <w:tcBorders>
              <w:left w:val="single" w:color="000000" w:sz="2" w:space="0"/>
              <w:bottom w:val="single" w:color="000000" w:sz="2" w:space="0"/>
              <w:right w:val="single" w:color="000000" w:sz="2" w:space="0"/>
            </w:tcBorders>
            <w:vAlign w:val="center"/>
          </w:tcPr>
          <w:p>
            <w:pPr>
              <w:jc w:val="center"/>
              <w:rPr>
                <w:rFonts w:ascii="黑体" w:hAnsi="黑体" w:eastAsia="黑体" w:cs="黑体"/>
                <w:sz w:val="24"/>
                <w:szCs w:val="24"/>
                <w:lang w:val="zh-CN" w:bidi="zh-CN"/>
              </w:rPr>
            </w:pPr>
            <w:r>
              <w:rPr>
                <w:rFonts w:ascii="黑体" w:hAnsi="黑体" w:eastAsia="黑体" w:cs="黑体"/>
                <w:sz w:val="24"/>
                <w:szCs w:val="24"/>
                <w:lang w:val="zh-CN" w:bidi="zh-CN"/>
              </w:rPr>
              <w:t>管理岗位级别</w:t>
            </w:r>
          </w:p>
        </w:tc>
        <w:tc>
          <w:tcPr>
            <w:tcW w:w="2642" w:type="dxa"/>
            <w:tcBorders>
              <w:left w:val="single" w:color="000000" w:sz="2" w:space="0"/>
              <w:bottom w:val="single" w:color="000000" w:sz="2" w:space="0"/>
              <w:right w:val="single" w:color="000000" w:sz="2" w:space="0"/>
            </w:tcBorders>
            <w:vAlign w:val="center"/>
          </w:tcPr>
          <w:p>
            <w:pPr>
              <w:jc w:val="center"/>
              <w:rPr>
                <w:rFonts w:ascii="黑体" w:hAnsi="黑体" w:eastAsia="黑体" w:cs="黑体"/>
                <w:sz w:val="24"/>
                <w:szCs w:val="24"/>
                <w:lang w:val="zh-CN" w:bidi="zh-CN"/>
              </w:rPr>
            </w:pPr>
            <w:r>
              <w:rPr>
                <w:rFonts w:ascii="黑体" w:hAnsi="黑体" w:eastAsia="黑体" w:cs="黑体"/>
                <w:sz w:val="24"/>
                <w:szCs w:val="24"/>
                <w:lang w:val="zh-CN" w:bidi="zh-CN"/>
              </w:rPr>
              <w:t>身份证号</w:t>
            </w:r>
          </w:p>
        </w:tc>
        <w:tc>
          <w:tcPr>
            <w:tcW w:w="2529" w:type="dxa"/>
            <w:tcBorders>
              <w:left w:val="single" w:color="000000" w:sz="2" w:space="0"/>
              <w:bottom w:val="single" w:color="000000" w:sz="2" w:space="0"/>
              <w:right w:val="single" w:color="000000" w:sz="2" w:space="0"/>
            </w:tcBorders>
            <w:vAlign w:val="center"/>
          </w:tcPr>
          <w:p>
            <w:pPr>
              <w:jc w:val="center"/>
              <w:rPr>
                <w:rFonts w:ascii="黑体" w:hAnsi="黑体" w:eastAsia="黑体" w:cs="黑体"/>
                <w:sz w:val="24"/>
                <w:szCs w:val="24"/>
                <w:lang w:val="zh-CN" w:bidi="zh-CN"/>
              </w:rPr>
            </w:pPr>
            <w:r>
              <w:rPr>
                <w:rFonts w:ascii="黑体" w:hAnsi="黑体" w:eastAsia="黑体" w:cs="黑体"/>
                <w:sz w:val="24"/>
                <w:szCs w:val="24"/>
                <w:lang w:val="zh-CN" w:bidi="zh-CN"/>
              </w:rPr>
              <w:t>工作单位及职务</w:t>
            </w:r>
          </w:p>
        </w:tc>
        <w:tc>
          <w:tcPr>
            <w:tcW w:w="1756" w:type="dxa"/>
            <w:tcBorders>
              <w:left w:val="single" w:color="000000" w:sz="2" w:space="0"/>
              <w:bottom w:val="single" w:color="000000" w:sz="2" w:space="0"/>
            </w:tcBorders>
            <w:vAlign w:val="center"/>
          </w:tcPr>
          <w:p>
            <w:pPr>
              <w:jc w:val="center"/>
              <w:rPr>
                <w:rFonts w:ascii="黑体" w:hAnsi="黑体" w:eastAsia="黑体" w:cs="黑体"/>
                <w:sz w:val="24"/>
                <w:szCs w:val="24"/>
                <w:lang w:val="zh-CN" w:bidi="zh-CN"/>
              </w:rPr>
            </w:pPr>
            <w:r>
              <w:rPr>
                <w:rFonts w:ascii="黑体" w:hAnsi="黑体" w:eastAsia="黑体" w:cs="黑体"/>
                <w:sz w:val="24"/>
                <w:szCs w:val="24"/>
                <w:lang w:val="zh-CN" w:bidi="zh-CN"/>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66" w:type="dxa"/>
            <w:tcBorders>
              <w:top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6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2529"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黑体" w:eastAsia="黑体" w:cs="黑体"/>
                <w:sz w:val="30"/>
                <w:szCs w:val="24"/>
                <w:lang w:val="zh-CN" w:bidi="zh-CN"/>
              </w:rPr>
            </w:pPr>
          </w:p>
        </w:tc>
        <w:tc>
          <w:tcPr>
            <w:tcW w:w="1756" w:type="dxa"/>
            <w:tcBorders>
              <w:top w:val="single" w:color="000000" w:sz="2" w:space="0"/>
              <w:left w:val="single" w:color="000000" w:sz="2" w:space="0"/>
              <w:bottom w:val="single" w:color="000000" w:sz="2" w:space="0"/>
            </w:tcBorders>
            <w:vAlign w:val="center"/>
          </w:tcPr>
          <w:p>
            <w:pPr>
              <w:jc w:val="center"/>
              <w:rPr>
                <w:rFonts w:ascii="Times New Roman" w:hAnsi="黑体" w:eastAsia="黑体" w:cs="黑体"/>
                <w:sz w:val="30"/>
                <w:szCs w:val="24"/>
                <w:lang w:val="zh-CN" w:bidi="zh-CN"/>
              </w:rPr>
            </w:pPr>
          </w:p>
        </w:tc>
      </w:tr>
    </w:tbl>
    <w:p>
      <w:pPr>
        <w:jc w:val="left"/>
        <w:rPr>
          <w:rFonts w:ascii="黑体" w:hAnsi="Calibri" w:eastAsia="黑体" w:cs="Times New Roman"/>
          <w:spacing w:val="-27"/>
          <w:sz w:val="32"/>
        </w:rPr>
      </w:pPr>
      <w:r>
        <w:rPr>
          <w:rFonts w:ascii="方正小标宋简体" w:hAnsi="Calibri" w:eastAsia="仿宋_GB2312" w:cs="Times New Roman"/>
          <w:sz w:val="16"/>
        </w:rPr>
        <w:br w:type="page"/>
      </w:r>
      <w:r>
        <w:rPr>
          <w:rFonts w:hint="eastAsia" w:ascii="黑体" w:hAnsi="Calibri" w:eastAsia="黑体" w:cs="Times New Roman"/>
          <w:spacing w:val="-27"/>
          <w:sz w:val="32"/>
        </w:rPr>
        <w:t>附件 3</w:t>
      </w:r>
    </w:p>
    <w:p>
      <w:pPr>
        <w:spacing w:before="56"/>
        <w:ind w:left="366"/>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2022年度承德市政工专业职务业务考试人员信息表（政工师）</w:t>
      </w:r>
    </w:p>
    <w:tbl>
      <w:tblPr>
        <w:tblStyle w:val="6"/>
        <w:tblW w:w="14474"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6"/>
        <w:gridCol w:w="954"/>
        <w:gridCol w:w="1174"/>
        <w:gridCol w:w="796"/>
        <w:gridCol w:w="1090"/>
        <w:gridCol w:w="1369"/>
        <w:gridCol w:w="1160"/>
        <w:gridCol w:w="2641"/>
        <w:gridCol w:w="2827"/>
        <w:gridCol w:w="1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966" w:type="dxa"/>
            <w:tcBorders>
              <w:bottom w:val="single" w:color="000000" w:sz="2" w:space="0"/>
              <w:right w:val="single" w:color="000000" w:sz="2" w:space="0"/>
            </w:tcBorders>
          </w:tcPr>
          <w:p>
            <w:pPr>
              <w:spacing w:before="205"/>
              <w:ind w:left="123"/>
              <w:rPr>
                <w:rFonts w:ascii="黑体" w:hAnsi="黑体" w:eastAsia="黑体" w:cs="黑体"/>
                <w:sz w:val="24"/>
                <w:szCs w:val="24"/>
                <w:lang w:val="zh-CN" w:bidi="zh-CN"/>
              </w:rPr>
            </w:pPr>
            <w:r>
              <w:rPr>
                <w:rFonts w:ascii="黑体" w:hAnsi="黑体" w:eastAsia="黑体" w:cs="黑体"/>
                <w:sz w:val="24"/>
                <w:szCs w:val="24"/>
                <w:lang w:val="zh-CN" w:bidi="zh-CN"/>
              </w:rPr>
              <w:t>考场号</w:t>
            </w:r>
          </w:p>
        </w:tc>
        <w:tc>
          <w:tcPr>
            <w:tcW w:w="954" w:type="dxa"/>
            <w:tcBorders>
              <w:left w:val="single" w:color="000000" w:sz="2" w:space="0"/>
              <w:bottom w:val="single" w:color="000000" w:sz="2" w:space="0"/>
              <w:right w:val="single" w:color="000000" w:sz="2" w:space="0"/>
            </w:tcBorders>
          </w:tcPr>
          <w:p>
            <w:pPr>
              <w:spacing w:before="205"/>
              <w:ind w:left="121"/>
              <w:rPr>
                <w:rFonts w:ascii="黑体" w:hAnsi="黑体" w:eastAsia="黑体" w:cs="黑体"/>
                <w:sz w:val="24"/>
                <w:szCs w:val="24"/>
                <w:lang w:val="zh-CN" w:bidi="zh-CN"/>
              </w:rPr>
            </w:pPr>
            <w:r>
              <w:rPr>
                <w:rFonts w:ascii="黑体" w:hAnsi="黑体" w:eastAsia="黑体" w:cs="黑体"/>
                <w:sz w:val="24"/>
                <w:szCs w:val="24"/>
                <w:lang w:val="zh-CN" w:bidi="zh-CN"/>
              </w:rPr>
              <w:t>座位号</w:t>
            </w:r>
          </w:p>
        </w:tc>
        <w:tc>
          <w:tcPr>
            <w:tcW w:w="1174" w:type="dxa"/>
            <w:tcBorders>
              <w:left w:val="single" w:color="000000" w:sz="2" w:space="0"/>
              <w:bottom w:val="single" w:color="000000" w:sz="2" w:space="0"/>
              <w:right w:val="single" w:color="000000" w:sz="2" w:space="0"/>
            </w:tcBorders>
          </w:tcPr>
          <w:p>
            <w:pPr>
              <w:spacing w:before="205"/>
              <w:ind w:left="352"/>
              <w:rPr>
                <w:rFonts w:ascii="黑体" w:hAnsi="黑体" w:eastAsia="黑体" w:cs="黑体"/>
                <w:sz w:val="24"/>
                <w:szCs w:val="24"/>
                <w:lang w:val="zh-CN" w:bidi="zh-CN"/>
              </w:rPr>
            </w:pPr>
            <w:r>
              <w:rPr>
                <w:rFonts w:ascii="黑体" w:hAnsi="黑体" w:eastAsia="黑体" w:cs="黑体"/>
                <w:sz w:val="24"/>
                <w:szCs w:val="24"/>
                <w:lang w:val="zh-CN" w:bidi="zh-CN"/>
              </w:rPr>
              <w:t>姓名</w:t>
            </w:r>
          </w:p>
        </w:tc>
        <w:tc>
          <w:tcPr>
            <w:tcW w:w="796" w:type="dxa"/>
            <w:tcBorders>
              <w:left w:val="single" w:color="000000" w:sz="2" w:space="0"/>
              <w:bottom w:val="single" w:color="000000" w:sz="2" w:space="0"/>
              <w:right w:val="single" w:color="000000" w:sz="2" w:space="0"/>
            </w:tcBorders>
          </w:tcPr>
          <w:p>
            <w:pPr>
              <w:spacing w:before="205"/>
              <w:ind w:left="162"/>
              <w:rPr>
                <w:rFonts w:ascii="黑体" w:hAnsi="黑体" w:eastAsia="黑体" w:cs="黑体"/>
                <w:sz w:val="24"/>
                <w:szCs w:val="24"/>
                <w:lang w:val="zh-CN" w:bidi="zh-CN"/>
              </w:rPr>
            </w:pPr>
            <w:r>
              <w:rPr>
                <w:rFonts w:ascii="黑体" w:hAnsi="黑体" w:eastAsia="黑体" w:cs="黑体"/>
                <w:sz w:val="24"/>
                <w:szCs w:val="24"/>
                <w:lang w:val="zh-CN" w:bidi="zh-CN"/>
              </w:rPr>
              <w:t>性别</w:t>
            </w:r>
          </w:p>
        </w:tc>
        <w:tc>
          <w:tcPr>
            <w:tcW w:w="1090" w:type="dxa"/>
            <w:tcBorders>
              <w:left w:val="single" w:color="000000" w:sz="2" w:space="0"/>
              <w:bottom w:val="single" w:color="000000" w:sz="2" w:space="0"/>
              <w:right w:val="single" w:color="000000" w:sz="2" w:space="0"/>
            </w:tcBorders>
          </w:tcPr>
          <w:p>
            <w:pPr>
              <w:spacing w:before="205"/>
              <w:ind w:left="310"/>
              <w:rPr>
                <w:rFonts w:ascii="黑体" w:hAnsi="黑体" w:eastAsia="黑体" w:cs="黑体"/>
                <w:sz w:val="24"/>
                <w:szCs w:val="24"/>
                <w:lang w:val="zh-CN" w:bidi="zh-CN"/>
              </w:rPr>
            </w:pPr>
            <w:r>
              <w:rPr>
                <w:rFonts w:ascii="黑体" w:hAnsi="黑体" w:eastAsia="黑体" w:cs="黑体"/>
                <w:sz w:val="24"/>
                <w:szCs w:val="24"/>
                <w:lang w:val="zh-CN" w:bidi="zh-CN"/>
              </w:rPr>
              <w:t>考号</w:t>
            </w:r>
          </w:p>
        </w:tc>
        <w:tc>
          <w:tcPr>
            <w:tcW w:w="1369" w:type="dxa"/>
            <w:tcBorders>
              <w:left w:val="single" w:color="000000" w:sz="2" w:space="0"/>
              <w:bottom w:val="single" w:color="000000" w:sz="2" w:space="0"/>
              <w:right w:val="single" w:color="000000" w:sz="2" w:space="0"/>
            </w:tcBorders>
          </w:tcPr>
          <w:p>
            <w:pPr>
              <w:spacing w:before="49" w:line="242" w:lineRule="auto"/>
              <w:ind w:left="209" w:right="195"/>
              <w:rPr>
                <w:rFonts w:ascii="黑体" w:hAnsi="黑体" w:eastAsia="黑体" w:cs="黑体"/>
                <w:sz w:val="24"/>
                <w:szCs w:val="24"/>
                <w:lang w:val="zh-CN" w:bidi="zh-CN"/>
              </w:rPr>
            </w:pPr>
            <w:r>
              <w:rPr>
                <w:rFonts w:ascii="黑体" w:hAnsi="黑体" w:eastAsia="黑体" w:cs="黑体"/>
                <w:sz w:val="24"/>
                <w:szCs w:val="24"/>
                <w:lang w:val="zh-CN" w:bidi="zh-CN"/>
              </w:rPr>
              <w:t>申报专业职务级别</w:t>
            </w:r>
          </w:p>
        </w:tc>
        <w:tc>
          <w:tcPr>
            <w:tcW w:w="1160" w:type="dxa"/>
            <w:tcBorders>
              <w:left w:val="single" w:color="000000" w:sz="2" w:space="0"/>
              <w:bottom w:val="single" w:color="000000" w:sz="2" w:space="0"/>
              <w:right w:val="single" w:color="000000" w:sz="2" w:space="0"/>
            </w:tcBorders>
          </w:tcPr>
          <w:p>
            <w:pPr>
              <w:spacing w:before="49" w:line="242" w:lineRule="auto"/>
              <w:ind w:left="223" w:right="211"/>
              <w:rPr>
                <w:rFonts w:ascii="黑体" w:hAnsi="黑体" w:eastAsia="黑体" w:cs="黑体"/>
                <w:sz w:val="24"/>
                <w:szCs w:val="24"/>
                <w:lang w:val="zh-CN" w:bidi="zh-CN"/>
              </w:rPr>
            </w:pPr>
            <w:r>
              <w:rPr>
                <w:rFonts w:ascii="黑体" w:hAnsi="黑体" w:eastAsia="黑体" w:cs="黑体"/>
                <w:sz w:val="24"/>
                <w:szCs w:val="24"/>
                <w:lang w:val="zh-CN" w:bidi="zh-CN"/>
              </w:rPr>
              <w:t>管理岗位级别</w:t>
            </w:r>
          </w:p>
        </w:tc>
        <w:tc>
          <w:tcPr>
            <w:tcW w:w="2641" w:type="dxa"/>
            <w:tcBorders>
              <w:left w:val="single" w:color="000000" w:sz="2" w:space="0"/>
              <w:bottom w:val="single" w:color="000000" w:sz="2" w:space="0"/>
              <w:right w:val="single" w:color="000000" w:sz="2" w:space="0"/>
            </w:tcBorders>
          </w:tcPr>
          <w:p>
            <w:pPr>
              <w:spacing w:before="205"/>
              <w:ind w:left="844"/>
              <w:rPr>
                <w:rFonts w:ascii="黑体" w:hAnsi="黑体" w:eastAsia="黑体" w:cs="黑体"/>
                <w:sz w:val="24"/>
                <w:szCs w:val="24"/>
                <w:lang w:val="zh-CN" w:bidi="zh-CN"/>
              </w:rPr>
            </w:pPr>
            <w:r>
              <w:rPr>
                <w:rFonts w:ascii="黑体" w:hAnsi="黑体" w:eastAsia="黑体" w:cs="黑体"/>
                <w:sz w:val="24"/>
                <w:szCs w:val="24"/>
                <w:lang w:val="zh-CN" w:bidi="zh-CN"/>
              </w:rPr>
              <w:t>身份证号</w:t>
            </w:r>
          </w:p>
        </w:tc>
        <w:tc>
          <w:tcPr>
            <w:tcW w:w="2827" w:type="dxa"/>
            <w:tcBorders>
              <w:left w:val="single" w:color="000000" w:sz="2" w:space="0"/>
              <w:bottom w:val="single" w:color="000000" w:sz="2" w:space="0"/>
              <w:right w:val="single" w:color="000000" w:sz="2" w:space="0"/>
            </w:tcBorders>
          </w:tcPr>
          <w:p>
            <w:pPr>
              <w:spacing w:before="205"/>
              <w:ind w:left="717"/>
              <w:rPr>
                <w:rFonts w:ascii="黑体" w:hAnsi="黑体" w:eastAsia="黑体" w:cs="黑体"/>
                <w:sz w:val="24"/>
                <w:szCs w:val="24"/>
                <w:lang w:val="zh-CN" w:bidi="zh-CN"/>
              </w:rPr>
            </w:pPr>
            <w:r>
              <w:rPr>
                <w:rFonts w:ascii="黑体" w:hAnsi="黑体" w:eastAsia="黑体" w:cs="黑体"/>
                <w:sz w:val="24"/>
                <w:szCs w:val="24"/>
                <w:lang w:val="zh-CN" w:bidi="zh-CN"/>
              </w:rPr>
              <w:t>工作单位及职务</w:t>
            </w:r>
          </w:p>
        </w:tc>
        <w:tc>
          <w:tcPr>
            <w:tcW w:w="1497" w:type="dxa"/>
            <w:tcBorders>
              <w:left w:val="single" w:color="000000" w:sz="2" w:space="0"/>
              <w:bottom w:val="single" w:color="000000" w:sz="2" w:space="0"/>
            </w:tcBorders>
          </w:tcPr>
          <w:p>
            <w:pPr>
              <w:spacing w:before="205"/>
              <w:ind w:left="313"/>
              <w:rPr>
                <w:rFonts w:ascii="黑体" w:hAnsi="黑体" w:eastAsia="黑体" w:cs="黑体"/>
                <w:sz w:val="24"/>
                <w:szCs w:val="24"/>
                <w:lang w:val="zh-CN" w:bidi="zh-CN"/>
              </w:rPr>
            </w:pPr>
            <w:r>
              <w:rPr>
                <w:rFonts w:ascii="黑体" w:hAnsi="黑体" w:eastAsia="黑体" w:cs="黑体"/>
                <w:sz w:val="24"/>
                <w:szCs w:val="24"/>
                <w:lang w:val="zh-CN" w:bidi="zh-CN"/>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66" w:type="dxa"/>
            <w:tcBorders>
              <w:top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95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74"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796"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09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369"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160"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641"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2827" w:type="dxa"/>
            <w:tcBorders>
              <w:top w:val="single" w:color="000000" w:sz="2" w:space="0"/>
              <w:left w:val="single" w:color="000000" w:sz="2" w:space="0"/>
              <w:bottom w:val="single" w:color="000000" w:sz="2" w:space="0"/>
              <w:right w:val="single" w:color="000000" w:sz="2" w:space="0"/>
            </w:tcBorders>
          </w:tcPr>
          <w:p>
            <w:pPr>
              <w:rPr>
                <w:rFonts w:ascii="Times New Roman" w:hAnsi="黑体" w:eastAsia="黑体" w:cs="黑体"/>
                <w:sz w:val="30"/>
                <w:szCs w:val="24"/>
                <w:lang w:val="zh-CN" w:bidi="zh-CN"/>
              </w:rPr>
            </w:pPr>
          </w:p>
        </w:tc>
        <w:tc>
          <w:tcPr>
            <w:tcW w:w="1497" w:type="dxa"/>
            <w:tcBorders>
              <w:top w:val="single" w:color="000000" w:sz="2" w:space="0"/>
              <w:left w:val="single" w:color="000000" w:sz="2" w:space="0"/>
              <w:bottom w:val="single" w:color="000000" w:sz="2" w:space="0"/>
            </w:tcBorders>
          </w:tcPr>
          <w:p>
            <w:pPr>
              <w:rPr>
                <w:rFonts w:ascii="Times New Roman" w:hAnsi="黑体" w:eastAsia="黑体" w:cs="黑体"/>
                <w:sz w:val="30"/>
                <w:szCs w:val="24"/>
                <w:lang w:val="zh-CN" w:bidi="zh-CN"/>
              </w:rPr>
            </w:pPr>
          </w:p>
        </w:tc>
      </w:tr>
    </w:tbl>
    <w:p>
      <w:pPr>
        <w:spacing w:before="1"/>
        <w:jc w:val="left"/>
        <w:rPr>
          <w:rFonts w:ascii="方正小标宋简体" w:hAnsi="Calibri" w:eastAsia="仿宋_GB2312" w:cs="Times New Roman"/>
          <w:sz w:val="16"/>
        </w:rPr>
        <w:sectPr>
          <w:footerReference r:id="rId4" w:type="even"/>
          <w:pgSz w:w="16840" w:h="11910" w:orient="landscape"/>
          <w:pgMar w:top="1134" w:right="1134" w:bottom="1134" w:left="1134" w:header="0" w:footer="971" w:gutter="0"/>
          <w:cols w:space="720" w:num="1"/>
        </w:sectPr>
      </w:pPr>
    </w:p>
    <w:p>
      <w:pPr>
        <w:spacing w:before="4"/>
        <w:jc w:val="left"/>
        <w:rPr>
          <w:rFonts w:ascii="Times New Roman" w:hAnsi="Calibri" w:eastAsia="仿宋_GB2312" w:cs="Times New Roman"/>
          <w:sz w:val="17"/>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jc w:val="left"/>
        <w:rPr>
          <w:rFonts w:ascii="Times New Roman" w:hAnsi="Calibri" w:eastAsia="仿宋_GB2312" w:cs="Times New Roman"/>
          <w:sz w:val="20"/>
        </w:rPr>
      </w:pPr>
    </w:p>
    <w:p>
      <w:pPr>
        <w:spacing w:before="240"/>
        <w:ind w:left="105" w:leftChars="50" w:right="105" w:rightChars="50"/>
        <w:jc w:val="left"/>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page">
                  <wp:posOffset>967105</wp:posOffset>
                </wp:positionH>
                <wp:positionV relativeFrom="paragraph">
                  <wp:posOffset>413385</wp:posOffset>
                </wp:positionV>
                <wp:extent cx="5624195"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5624195" cy="0"/>
                        </a:xfrm>
                        <a:prstGeom prst="line">
                          <a:avLst/>
                        </a:prstGeom>
                        <a:ln w="698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6.15pt;margin-top:32.55pt;height:0pt;width:442.85pt;mso-position-horizontal-relative:page;z-index:251660288;mso-width-relative:page;mso-height-relative:page;" filled="f" stroked="t" coordsize="21600,21600" o:gfxdata="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b&#10;SHCU1wAAAAoBAAAPAAAAAAAAAAEAIAAAACIAAABkcnMvZG93bnJldi54bWxQSwECFAAUAAAACACH&#10;TuJAkvwwC+wBAADYAwAADgAAAAAAAAABACAAAAAmAQAAZHJzL2Uyb0RvYy54bWxQSwUGAAAAAAYA&#10;BgBZAQAAhAUAAAAA&#10;">
                <v:fill on="f" focussize="0,0"/>
                <v:stroke weight="0.55pt" color="#000000" joinstyle="round"/>
                <v:imagedata o:title=""/>
                <o:lock v:ext="edit" aspectratio="f"/>
              </v:lin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61312" behindDoc="0" locked="0" layoutInCell="1" allowOverlap="1">
                <wp:simplePos x="0" y="0"/>
                <wp:positionH relativeFrom="page">
                  <wp:posOffset>969010</wp:posOffset>
                </wp:positionH>
                <wp:positionV relativeFrom="paragraph">
                  <wp:posOffset>69850</wp:posOffset>
                </wp:positionV>
                <wp:extent cx="5623560" cy="0"/>
                <wp:effectExtent l="0" t="0" r="34290" b="19050"/>
                <wp:wrapNone/>
                <wp:docPr id="3" name="直接连接符 3"/>
                <wp:cNvGraphicFramePr/>
                <a:graphic xmlns:a="http://schemas.openxmlformats.org/drawingml/2006/main">
                  <a:graphicData uri="http://schemas.microsoft.com/office/word/2010/wordprocessingShape">
                    <wps:wsp>
                      <wps:cNvCnPr/>
                      <wps:spPr>
                        <a:xfrm>
                          <a:off x="0" y="0"/>
                          <a:ext cx="5623560" cy="0"/>
                        </a:xfrm>
                        <a:prstGeom prst="line">
                          <a:avLst/>
                        </a:prstGeom>
                        <a:ln w="698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6.3pt;margin-top:5.5pt;height:0pt;width:442.8pt;mso-position-horizontal-relative:page;z-index:251661312;mso-width-relative:page;mso-height-relative:page;" filled="f" stroked="t" coordsize="21600,21600" o:gfxdata="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XOUxDYAAAACgEAAA8AAAAAAAAAAQAgAAAAIgAAAGRycy9kb3ducmV2LnhtbFBLAQIUABQAAAAI&#10;AIdO4kCvs3SB7QEAANgDAAAOAAAAAAAAAAEAIAAAACcBAABkcnMvZTJvRG9jLnhtbFBLBQYAAAAA&#10;BgAGAFkBAACGBQAAAAA=&#10;">
                <v:fill on="f" focussize="0,0"/>
                <v:stroke weight="0.55pt" color="#000000" joinstyle="round"/>
                <v:imagedata o:title=""/>
                <o:lock v:ext="edit" aspectratio="f"/>
              </v:line>
            </w:pict>
          </mc:Fallback>
        </mc:AlternateContent>
      </w:r>
      <w:r>
        <w:rPr>
          <w:rFonts w:ascii="Times New Roman" w:hAnsi="Times New Roman" w:eastAsia="宋体" w:cs="Times New Roman"/>
          <w:sz w:val="24"/>
          <w:szCs w:val="24"/>
        </w:rPr>
        <w:t>承德市思想政治工作人员专业职务评定工作领导小组办公室202</w:t>
      </w:r>
      <w:r>
        <w:rPr>
          <w:rFonts w:hint="eastAsia" w:ascii="Times New Roman" w:hAnsi="Times New Roman" w:eastAsia="宋体" w:cs="Times New Roman"/>
          <w:sz w:val="24"/>
          <w:szCs w:val="24"/>
        </w:rPr>
        <w:t>2</w:t>
      </w:r>
      <w:r>
        <w:rPr>
          <w:rFonts w:ascii="Times New Roman" w:hAnsi="Times New Roman" w:eastAsia="宋体" w:cs="Times New Roman"/>
          <w:sz w:val="24"/>
          <w:szCs w:val="24"/>
        </w:rPr>
        <w:t>年7月</w:t>
      </w:r>
      <w:r>
        <w:rPr>
          <w:rFonts w:hint="eastAsia" w:ascii="Times New Roman" w:hAnsi="Times New Roman" w:eastAsia="宋体" w:cs="Times New Roman"/>
          <w:sz w:val="24"/>
          <w:szCs w:val="24"/>
        </w:rPr>
        <w:t>4</w:t>
      </w:r>
      <w:r>
        <w:rPr>
          <w:rFonts w:ascii="Times New Roman" w:hAnsi="Times New Roman" w:eastAsia="宋体" w:cs="Times New Roman"/>
          <w:sz w:val="24"/>
          <w:szCs w:val="24"/>
        </w:rPr>
        <w:t>日印发</w:t>
      </w:r>
    </w:p>
    <w:p>
      <w:pPr>
        <w:spacing w:line="600" w:lineRule="exact"/>
        <w:jc w:val="center"/>
        <w:rPr>
          <w:rFonts w:hint="eastAsia" w:ascii="宋体" w:hAnsi="宋体" w:eastAsia="宋体" w:cs="宋体"/>
          <w:b/>
          <w:sz w:val="32"/>
          <w:szCs w:val="32"/>
        </w:rPr>
      </w:pPr>
      <w:r>
        <w:rPr>
          <w:rFonts w:hint="eastAsia" w:ascii="宋体" w:hAnsi="宋体" w:eastAsia="宋体" w:cs="宋体"/>
          <w:b/>
          <w:sz w:val="44"/>
          <w:szCs w:val="44"/>
        </w:rPr>
        <w:t>河北省政工专业职务评定办法</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w:t>
      </w: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一、总  则</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第一条  为增强我省思想政治工作人员专业职务评定工作的科学性、规范性和可操作性，确保评定质量，特制定本办法。</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第二条  本办法根据中央办公厅、国务院办公厅转发的《企业思想政治工作人员专业职务试行条例》、中宣部等5部委《关于实施&lt;企业思想政治工作人员专业职务试行条例&gt;的若干规定》、省委宣传部、省人力资源和社会保障厅《关于在全省事业单位试行思想政治工作专业职务评聘工作的通知》等，在总结我省政工专业职务评定工作经验的基础上制定。</w:t>
      </w: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二、参评范围</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第三条  全省事业单位以及国有企业、集体所有制企业和党的组织健全的合资企业、民营企业范围内的管理岗位人员可申报参评。</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第四条  下列人员不能申报参评： </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（一）在规定申报时间前已达到退休年龄的，不论是否办理退休手续，均不能申报参评。</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（二）离开政工岗位两年以上，重新回到政工岗位不足1年的，不能申报参评。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（三）年内受过党内严重警告或行政记大过以上处分的，不能申报参评。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（四）事业单位工作人员近3年内年度考核结果有一次不合格的，不能申报参评。</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第五条  已经实行公务员管理的事业单位不能参加事业单位政工专业职务评聘工作；专业性较强，且设有本专业专业职务的部门，如党史研究、档案管理等，一般不能参加政工专业职务评定；隶属关系归行业领导(条条领导)的单位，如邮电、金融等，若无上级主管部门委托，不能参加我省的评定。</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第六条  获得其他系列专业职务任职资格后调入政工岗位的人员，改评同级政工专业职务，须从事政工工作1年以上，业务成果、荣誉称号等要符合相应政工专业职务的晋升条件，申报和评审也要按照晋升人员的程序进行；获得其他系列专业职务后调入政工岗位的人员，其履职年限可以连续计算，但在政工岗位的履职年限须在2年以上方可申报参评高一级的政工专业职务。</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第七条  由党政机关分流、军队转业到规定参评范围单位和岗位的政工人员，从事政工工作1年以上，具备相应的专业成果、荣誉称号、论文等条件，可以直接申报参评：</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（一）管理岗位10级及排职干部可以申报参评政工员。</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（二）管理岗位9级及连职干部可以申报参评助理政工师。</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（三）管理岗位7、8级及营职干部可以申报参评政工师。</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（四）管理岗位6级及副团职干部可以申报高级政工师。</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（五）管理岗位5级及以上、正团级及以上干部可以申报正高级政工师。 </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第八条  其他省、市、自治区调入我省和省内跨市调入的政工专业人员，应按照其专业职务级别由相应的政工职评办公室予以认定。填写确认表，颁发我省统一的任职资格证书。 </w:t>
      </w: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三、参评条件</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第九条  基本条件。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遵守国家的法律法规，具有良好的职业道德和敬业精神。认真学习并系统掌握党在各时期所要求的政治思想理论体系和科学内涵，特别是中国特色社会主义理论和社会主义核心价值观的内容，在思想上、政治上同党中央保持一致，正确贯彻执行党的路线、方针、政策，思想品德优良，热爱思想政治工作。任现职期间，年度考核合格以上。</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县（市、区）属事业单位原则上不设置正高级政工师专业职务岗位；事业单位思想政治工作专业职务岗位设置的最高岗位等级不超过本单位专业技术岗位设置的最高岗位相对应的专业技术职称等级。</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第十条  申报参评中、高级政工专业职务的人员，须参加全省统一组织的政工业务考试，合格者方可参评。　</w:t>
      </w:r>
    </w:p>
    <w:p>
      <w:pPr>
        <w:spacing w:line="600" w:lineRule="exact"/>
        <w:ind w:left="420" w:leftChars="200"/>
        <w:rPr>
          <w:rFonts w:hint="eastAsia" w:ascii="仿宋" w:hAnsi="仿宋" w:eastAsia="仿宋" w:cs="仿宋"/>
          <w:sz w:val="32"/>
          <w:szCs w:val="32"/>
        </w:rPr>
      </w:pPr>
      <w:r>
        <w:rPr>
          <w:rFonts w:hint="eastAsia" w:ascii="仿宋" w:hAnsi="仿宋" w:eastAsia="仿宋" w:cs="仿宋"/>
          <w:sz w:val="32"/>
          <w:szCs w:val="32"/>
        </w:rPr>
        <w:t xml:space="preserve"> 第十一条  事业单位参评人员岗位条件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参评正高级政工师专业职务的要聘用在管理岗位6级以上岗位；参评高级政工师专业职务的要聘用在管理8级以上岗位；参评中级政工师专业职务的要聘用在管理9级以上岗位。</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第十二条  政工员。</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（一）在具备基本条件的前提下，具有做好一般性思想政治工作的能力，能胜任本岗位的工作。</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（二）大学专科毕业，从事思想政治工作1年以上；高中(中专)毕业，从事思想政治工作2年以上。</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第十三条  助理政工师。</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（一）在具备基本条件的前提下，比较熟悉党的思想政治工作的基本原则、优良传统和中国革命史等知识及中国国情，具有从事本职工作的实际能力和经验。</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（二）大学本科以上毕业，从事思想政治工作1年以上；大学专科毕业，担任政工员2年以上；高中(中专)毕业，担任政工员4年以上。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第十四条  政工师。</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（一）取得助理政工师资格后，具备下列思想政治工作经历（能力）条件：</w:t>
      </w:r>
    </w:p>
    <w:p>
      <w:pPr>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1.努力研究探索党的思想政治工作的新方法、新途径，有一定的工作经验，能够独立在群众中进行宣传讲解，有一定专业文字能力。</w:t>
      </w:r>
    </w:p>
    <w:p>
      <w:pPr>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2.能够适应形势发展的需要，理论和实践相结合，正确分析处理现实工作中的问题，创造性地贯彻落实上级工作部署。</w:t>
      </w:r>
    </w:p>
    <w:p>
      <w:pPr>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二）学历、资历条件：获硕士学位，从事政工专业工作，取得助理政工师2年以上；大学本科毕业，从事政工专业工作，取得助理政工师4年以上；大学专科毕业，从事政工专业工作，取得助理政工师5年以上；高中(中专)毕业，从事政工专业工作，取得助理政工师7年以上。</w:t>
      </w:r>
    </w:p>
    <w:p>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（三）业绩成果条件。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取得助理政工师资格后，具备下列条件中的两条：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1.主持或参与本单位思想政治工作期间，为加强思想政治工作做出贡献，受到厅局级以</w:t>
      </w:r>
      <w:r>
        <w:rPr>
          <w:rFonts w:hint="eastAsia" w:ascii="仿宋" w:hAnsi="仿宋" w:eastAsia="仿宋" w:cs="仿宋"/>
          <w:color w:val="0000FF"/>
          <w:sz w:val="32"/>
          <w:szCs w:val="32"/>
        </w:rPr>
        <w:t>上</w:t>
      </w:r>
      <w:r>
        <w:rPr>
          <w:rFonts w:hint="eastAsia" w:ascii="仿宋" w:hAnsi="仿宋" w:eastAsia="仿宋" w:cs="仿宋"/>
          <w:sz w:val="32"/>
          <w:szCs w:val="32"/>
        </w:rPr>
        <w:t>表彰奖励。</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2.思想政治工作业绩比较突出，获得过县级以上思想政治工作方面荣誉称号，或对所在单位获得同类荣誉称号起主要作用。</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3.思想政治工作经验比较丰富，工作经验或选树的典型在全市或全行业范围内交流推广，对推进本单位或本行业思想政治工作起到较突出作用（附相关证明材料），或主持完成厅局级以上思想政治工作课题，并获得县级以上奖励。</w:t>
      </w:r>
    </w:p>
    <w:p>
      <w:pPr>
        <w:spacing w:line="600" w:lineRule="exact"/>
        <w:rPr>
          <w:rFonts w:hint="eastAsia" w:ascii="仿宋" w:hAnsi="仿宋" w:eastAsia="仿宋" w:cs="仿宋"/>
          <w:sz w:val="32"/>
          <w:szCs w:val="32"/>
        </w:rPr>
      </w:pPr>
      <w:r>
        <w:rPr>
          <w:rFonts w:hint="eastAsia" w:ascii="仿宋" w:hAnsi="仿宋" w:eastAsia="仿宋" w:cs="仿宋"/>
          <w:b/>
          <w:bCs/>
          <w:sz w:val="32"/>
          <w:szCs w:val="32"/>
        </w:rPr>
        <w:t xml:space="preserve">    </w:t>
      </w:r>
      <w:r>
        <w:rPr>
          <w:rFonts w:hint="eastAsia" w:ascii="仿宋" w:hAnsi="仿宋" w:eastAsia="仿宋" w:cs="仿宋"/>
          <w:sz w:val="32"/>
          <w:szCs w:val="32"/>
        </w:rPr>
        <w:t xml:space="preserve"> （四）论文、著作条件。</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取得助理政工师资格后，公开发表、出版有</w:t>
      </w:r>
      <w:bookmarkStart w:id="0" w:name="_GoBack"/>
      <w:bookmarkEnd w:id="0"/>
      <w:r>
        <w:rPr>
          <w:rFonts w:hint="eastAsia" w:ascii="仿宋" w:hAnsi="仿宋" w:eastAsia="仿宋" w:cs="仿宋"/>
          <w:sz w:val="32"/>
          <w:szCs w:val="32"/>
        </w:rPr>
        <w:t>较高水平的思想政治工作方面论文、著作，具备下列条件之一：</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1.在出版社正式出版有统一书号(ISBN)的著作，本人独立撰写3万字以上，或编写正式出版的教材，本人独立撰写5万字以上。</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2.在有国内统一刊号(CN)的报纸、期刊上发表1篇以上，或在省级新闻出版部门认定的有内部刊号的报纸、期刊上发表2篇以上独立完成的论文、调查报告、经验介绍。</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第十五条  高级政工师。</w:t>
      </w:r>
    </w:p>
    <w:p>
      <w:pPr>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（一）取得政工师资格后，具备下列思想政治工作经历（能力）条件：</w:t>
      </w:r>
    </w:p>
    <w:p>
      <w:pPr>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1.深入研究探索党的思想政治工作的新方法、新途径，工作经验丰富，有一定的开拓创新、组织指导、调查研究、专业文字能力。</w:t>
      </w:r>
    </w:p>
    <w:p>
      <w:pPr>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2.能够适应形势发展的需要，不断研究职工思想活动的新情况、新特点，探索新形势下做好思想政治工作的有效方法和客观规律；能够理论和实践相结合，正确分析处理现实工作中的复杂问题；能够结合实际创造性地贯彻落实上级工作部署。</w:t>
      </w:r>
    </w:p>
    <w:p>
      <w:pPr>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二）学历、资历条件：获博士学位，从事政工专业工作，取得政工师资格2年以上，大学本科毕业以上学历，从事政工专业工作，取得政工师资格5年以上。事业单位大学专科毕业，不能参评高级政工师专业职务。</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（三）业绩成果条件。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取得政工师资格后，具备下列条件中的两条：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1.主持或作为骨干参与本单位思想政治工作期间，职工队伍稳定，团结向上，成效显著，受到省部级以上表彰奖励。</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2.思想政治工作业绩突出，获得过厅局级以上思想政治工作方面荣誉称号，或对所在单位获得同类荣誉称号起主要作用。</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3.思想政治工作经验丰富，开展思想政治工作的做法或选树的典型在全省或全行业范围内交流推广，对推进本单位或本行业思想政治工作起到较突出作用（附相关证明材料），或主持、完成厅局级以上思想政治工作课题，并获得厅局级以上奖励</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r>
        <w:rPr>
          <w:rFonts w:hint="eastAsia" w:ascii="仿宋" w:hAnsi="仿宋" w:eastAsia="仿宋" w:cs="仿宋"/>
          <w:sz w:val="32"/>
          <w:szCs w:val="32"/>
        </w:rPr>
        <w:t>（四）论文、著作条件。</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取得政工师资格后，公开发表、出版有较高水平的思想政治工作方面论文、著作，具备下列条件之一：   </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1.在出版社正式出版有统一书号(ISBN)的著作，本人独立撰写5万字以上，或编写一个正式出版的教材，本人独立撰写8万字以上。</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2.在有国内统一刊号(CN)的核心类报纸、期刊上发表2篇以上独立完成的论文、调查报告、经验介绍。</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3.在有国内统一刊号(CN)的非核心类报纸、期刊上发表3篇以上，或在省级新闻出版部门认定的有内部刊号的报纸、期刊上发表4篇以上独立完成的论文、调查报告、经验介绍。</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（五）破格条件。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为不拘一格选拔人才，对确有真才实学，做出突出贡献者，并取得政工师资格2年以上，具备下列条件，可破格申报</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1.在省级以上核心期刊发表思想政治工作方面的文章3篇以上，独立完成，且引起一定的社会反响，或由出版社正式出版的思想政治工作方面的专著（不少于10万字），独立完成，且有一定的社会影响。</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2.主持、完成省部级以上思想政治工作课题研究一项。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3.获得省（部）级以上思想政治工作方面的荣誉称号。</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4.组织开展的思想政治经验获得省部级领导肯定。</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第十六条  正高级政工师。</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（一）取得高级政工师资格后，具备下列思想政治工作经历（能力）条件： </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1.对党的思想政治工作有深入研究和独到见解，工作经验丰富，有较强的统筹谋划、开拓创新、组织指导、调查研究、专业文字能力。</w:t>
      </w:r>
    </w:p>
    <w:p>
      <w:pPr>
        <w:numPr>
          <w:ilvl w:val="0"/>
          <w:numId w:val="1"/>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能够适应形势发展的需要，深入研究职工思想活动的新情况、新特点，探索新形势下做好本单位思想政治工作的有效方法和客观规律；能够从理论和实践的结合上回答社会深层次问题，破解工作难题；能够结合实际创造性地贯彻落实上级工作部署。      </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（二）学历、资历条件。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大学本科毕业以上学历，从事政工专业工作，取得高级政工师资格5年以上。</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（三）业绩成果条件。</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取得高级政工师资格后，具备下列条件中的两条：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1.获得省部级以上综合性思想政治工作荣誉称号，或对所在单位获得省部级以上同类称号起了主要作用。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2.开展思想政治工作的做法、经验在省部级以上党政机关被推广（附相关证明材料），或主持、完成省部级以上思想政治工作课题研究。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3.所培养、树立的先进典型在全省、全行业产生过重要影响（附相关证明材料）。</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（四）论文、著作条件。</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取得高级政工师资格后，公开发表、出版有较高水平的思想政治工作方面论文、著作，具备下列条件之一：</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1.由个人编著，或与人合著而本人为第一作者，由出版社正式出版。有统一书号(ISBN)的专著一部（不少于10万字）。</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2.在有国内统一刊号(CN)的省级以上专业期刊发表思想政治工作方面的重要文章5篇以上，独立完成，（其中3篇以上在核心期刊发表）。</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（五）破格条件。</w:t>
      </w:r>
    </w:p>
    <w:p>
      <w:pPr>
        <w:spacing w:line="600" w:lineRule="exact"/>
        <w:rPr>
          <w:rFonts w:hint="eastAsia" w:ascii="仿宋" w:hAnsi="仿宋" w:eastAsia="仿宋" w:cs="仿宋"/>
          <w:sz w:val="32"/>
          <w:szCs w:val="32"/>
        </w:rPr>
      </w:pPr>
      <w:r>
        <w:rPr>
          <w:rFonts w:hint="eastAsia" w:ascii="仿宋" w:hAnsi="仿宋" w:eastAsia="仿宋" w:cs="仿宋"/>
          <w:sz w:val="32"/>
          <w:szCs w:val="32"/>
        </w:rPr>
        <w:t>　　为不拘一格选拔人才，对确有真才实学，做出突出贡献者，并取得高级政工师资格2年以上，具备下列条件，可破格申报：</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1.在国家级核心期刊发表思想政治工作方面的重要文章3篇以上，独立完成，且引起一定的社会反响；或由出版社正式出版的思想政治工作方面的专著（不少于20万字），独立完成，且有一定的社会影响。</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2.主持、完成省部级以上思想政治工作课题研究两项，或获得省级奖一等奖一项，或主持、完成国家级思想政治工作课题研究课题一项。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3.获得国家级思想政治工作方面的荣誉称号。</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4.组织开展的思想政治工作经验获得国家级领导肯定。</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第十七条  本办法所指发表文章、荣誉称号的时限：申报政工师者，指其担任助理政工师期间；申报副高级政工师者，指其担任政工师期间；申报正高级政工师者，指其担任副高级政工师期间。</w:t>
      </w: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四、评审委员会</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第十八条  各级评委会成员要在有关党政机关、事业单位和大中型企业等单位的人员中选聘。评委会成员应是政治理论和业务水平较高、作风正派、办事公道，在群众中有较高威信的思想政治工作人员或熟悉思想政治工作的人员。</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第十九条  高级政工专业任职资格评审委员会应由11到13人组成。设主任1人，副主任1-2人。评委会由相当于处级以上党政领导干部和具有正高级政工师水平的专家组成。</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第二十条  各中、初级评委会一般由9至11人组成，设主任1人，副主任1至2人。评委会由相当于副处级以上党政领导干部和具有高级政工师水平的专家组成。中级评委会要上报省委宣传部审批。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第二十一条  评委会每年选聘一次，任期一年。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第二十二条  评委会成员的权利。</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（一）有参加本届评委会会议并在会上发表自己意见的权利。</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（二）在投票表决时，有按自己意见投票的权利。</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（三）在评审过程中和评审最终结果产生前，有向评委会主任提请就某申报人进行复议的权利。</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第二十三条  评委会成员的义务</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（一）有熟悉、掌握中央和省有关政工专业人员评审的文件、规定，并遵照执行的义务。</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（二）有按要求完成评委会交办工作任务的义务。</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（三）有保守评审工作中各项秘密的义务。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第二十四条 评委会主任、副主任除具有评委会成员的权利和义务外，有权根据工作需要召集评委会全体或部分成员就职评工作有关问题召开会议。应在正式评审之前报告各项准备工作和在评审之后通报评审结果。</w:t>
      </w: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五、附则</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第二十五条  本办法仅适用于政工专业职务的评定工作。</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第二十六条  本办法没有规定的，参照相关规定执行。</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第二十七条  本办法由中共河北省委宣传部负责解释。</w:t>
      </w:r>
    </w:p>
    <w:p>
      <w:pPr>
        <w:spacing w:line="600" w:lineRule="exact"/>
        <w:rPr>
          <w:rFonts w:hint="eastAsia" w:ascii="仿宋" w:hAnsi="仿宋" w:eastAsia="仿宋" w:cs="仿宋"/>
          <w:sz w:val="32"/>
          <w:szCs w:val="32"/>
        </w:rPr>
      </w:pPr>
      <w:r>
        <w:rPr>
          <w:rFonts w:hint="eastAsia" w:ascii="仿宋" w:hAnsi="仿宋" w:eastAsia="仿宋" w:cs="仿宋"/>
          <w:sz w:val="32"/>
          <w:szCs w:val="32"/>
        </w:rPr>
        <w:t xml:space="preserve">   第二十八条  本办法自2014年10月14日起施行。</w:t>
      </w:r>
    </w:p>
    <w:p>
      <w:pPr>
        <w:spacing w:before="240"/>
        <w:ind w:left="105" w:leftChars="50" w:right="105" w:rightChars="50"/>
        <w:jc w:val="left"/>
        <w:rPr>
          <w:rFonts w:hint="eastAsia" w:ascii="仿宋_GB2312" w:hAnsi="仿宋" w:eastAsia="仿宋_GB2312" w:cs="Times New Roman"/>
          <w:sz w:val="24"/>
          <w:szCs w:val="24"/>
        </w:rPr>
      </w:pPr>
    </w:p>
    <w:sectPr>
      <w:pgSz w:w="11910" w:h="16840"/>
      <w:pgMar w:top="1814" w:right="1531" w:bottom="1701" w:left="1531" w:header="0" w:footer="137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3" o:spid="_x0000_s205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4"/>
                </w:pPr>
                <w:r>
                  <w:t xml:space="preserve">— </w:t>
                </w:r>
                <w:r>
                  <w:fldChar w:fldCharType="begin"/>
                </w:r>
                <w:r>
                  <w:instrText xml:space="preserve"> PAGE  \* MERGEFORMAT </w:instrText>
                </w:r>
                <w:r>
                  <w:fldChar w:fldCharType="separate"/>
                </w:r>
                <w:r>
                  <w:t>4</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991870</wp:posOffset>
              </wp:positionH>
              <wp:positionV relativeFrom="page">
                <wp:posOffset>6802755</wp:posOffset>
              </wp:positionV>
              <wp:extent cx="648335" cy="203200"/>
              <wp:effectExtent l="0" t="0" r="18415" b="6350"/>
              <wp:wrapNone/>
              <wp:docPr id="6" name="文本框 6"/>
              <wp:cNvGraphicFramePr/>
              <a:graphic xmlns:a="http://schemas.openxmlformats.org/drawingml/2006/main">
                <a:graphicData uri="http://schemas.microsoft.com/office/word/2010/wordprocessingShape">
                  <wps:wsp>
                    <wps:cNvSpPr txBox="1"/>
                    <wps:spPr>
                      <a:xfrm>
                        <a:off x="0" y="0"/>
                        <a:ext cx="648335" cy="203200"/>
                      </a:xfrm>
                      <a:prstGeom prst="rect">
                        <a:avLst/>
                      </a:prstGeom>
                      <a:noFill/>
                      <a:ln>
                        <a:noFill/>
                      </a:ln>
                    </wps:spPr>
                    <wps:txbx>
                      <w:txbxContent>
                        <w:p>
                          <w:pPr>
                            <w:spacing w:line="320" w:lineRule="exact"/>
                            <w:ind w:left="20"/>
                            <w:jc w:val="left"/>
                            <w:rPr>
                              <w:sz w:val="28"/>
                            </w:rPr>
                          </w:pPr>
                          <w:r>
                            <w:rPr>
                              <w:sz w:val="28"/>
                            </w:rPr>
                            <w:t>— 6 —</w:t>
                          </w:r>
                        </w:p>
                      </w:txbxContent>
                    </wps:txbx>
                    <wps:bodyPr lIns="0" tIns="0" rIns="0" bIns="0" upright="1"/>
                  </wps:wsp>
                </a:graphicData>
              </a:graphic>
            </wp:anchor>
          </w:drawing>
        </mc:Choice>
        <mc:Fallback>
          <w:pict>
            <v:shape id="_x0000_s1026" o:spid="_x0000_s1026" o:spt="202" type="#_x0000_t202" style="position:absolute;left:0pt;margin-left:78.1pt;margin-top:535.65pt;height:16pt;width:51.05pt;mso-position-horizontal-relative:page;mso-position-vertical-relative:page;z-index:-251655168;mso-width-relative:page;mso-height-relative:page;" filled="f" stroked="f" coordsize="21600,21600" o:gfxdata="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ym0sNoAAAANAQAADwAAAAAAAAABACAAAAAiAAAAZHJzL2Rvd25yZXYueG1sUEsB&#10;AhQAFAAAAAgAh07iQH8arcS6AQAAcQMAAA4AAAAAAAAAAQAgAAAAKQEAAGRycy9lMm9Eb2MueG1s&#10;UEsFBgAAAAAGAAYAWQEAAFUFAAAAAA==&#10;">
              <v:fill on="f" focussize="0,0"/>
              <v:stroke on="f"/>
              <v:imagedata o:title=""/>
              <o:lock v:ext="edit" aspectratio="f"/>
              <v:textbox inset="0mm,0mm,0mm,0mm">
                <w:txbxContent>
                  <w:p>
                    <w:pPr>
                      <w:spacing w:line="320" w:lineRule="exact"/>
                      <w:ind w:left="20"/>
                      <w:jc w:val="left"/>
                      <w:rPr>
                        <w:sz w:val="28"/>
                      </w:rPr>
                    </w:pPr>
                    <w:r>
                      <w:rPr>
                        <w:sz w:val="28"/>
                      </w:rPr>
                      <w:t>— 6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BC"/>
    <w:rsid w:val="000022A9"/>
    <w:rsid w:val="000031BF"/>
    <w:rsid w:val="00016C27"/>
    <w:rsid w:val="00032405"/>
    <w:rsid w:val="00040E48"/>
    <w:rsid w:val="00041340"/>
    <w:rsid w:val="000A0189"/>
    <w:rsid w:val="000B73A9"/>
    <w:rsid w:val="000C0DB2"/>
    <w:rsid w:val="000C72C3"/>
    <w:rsid w:val="001217C3"/>
    <w:rsid w:val="00140931"/>
    <w:rsid w:val="00167A33"/>
    <w:rsid w:val="00173E41"/>
    <w:rsid w:val="001A238C"/>
    <w:rsid w:val="001C4B76"/>
    <w:rsid w:val="00260535"/>
    <w:rsid w:val="002D0760"/>
    <w:rsid w:val="002D4BA7"/>
    <w:rsid w:val="002E3AEE"/>
    <w:rsid w:val="002F2CD1"/>
    <w:rsid w:val="003431CA"/>
    <w:rsid w:val="00375C08"/>
    <w:rsid w:val="003D711E"/>
    <w:rsid w:val="00402674"/>
    <w:rsid w:val="00472C92"/>
    <w:rsid w:val="0048176D"/>
    <w:rsid w:val="00540B1D"/>
    <w:rsid w:val="005E47D5"/>
    <w:rsid w:val="0063563C"/>
    <w:rsid w:val="00657D57"/>
    <w:rsid w:val="00686CB6"/>
    <w:rsid w:val="00690EB9"/>
    <w:rsid w:val="0070218E"/>
    <w:rsid w:val="007369D3"/>
    <w:rsid w:val="007553F4"/>
    <w:rsid w:val="007A3772"/>
    <w:rsid w:val="007A4CBD"/>
    <w:rsid w:val="007B0C6D"/>
    <w:rsid w:val="007D7A0C"/>
    <w:rsid w:val="007E73DD"/>
    <w:rsid w:val="007F1F46"/>
    <w:rsid w:val="0083673F"/>
    <w:rsid w:val="00865BA0"/>
    <w:rsid w:val="00896370"/>
    <w:rsid w:val="008B097E"/>
    <w:rsid w:val="008C02E5"/>
    <w:rsid w:val="008D11BC"/>
    <w:rsid w:val="00926D6E"/>
    <w:rsid w:val="00931D39"/>
    <w:rsid w:val="009473C5"/>
    <w:rsid w:val="00971E02"/>
    <w:rsid w:val="00987E97"/>
    <w:rsid w:val="009D428F"/>
    <w:rsid w:val="009F46C6"/>
    <w:rsid w:val="00A0056B"/>
    <w:rsid w:val="00A27FCA"/>
    <w:rsid w:val="00A43706"/>
    <w:rsid w:val="00A527C8"/>
    <w:rsid w:val="00A557BF"/>
    <w:rsid w:val="00A775BE"/>
    <w:rsid w:val="00A820DA"/>
    <w:rsid w:val="00B17BEC"/>
    <w:rsid w:val="00B277D4"/>
    <w:rsid w:val="00B84993"/>
    <w:rsid w:val="00B92190"/>
    <w:rsid w:val="00BC0E84"/>
    <w:rsid w:val="00BE7BAC"/>
    <w:rsid w:val="00C11A01"/>
    <w:rsid w:val="00C334FB"/>
    <w:rsid w:val="00C727DE"/>
    <w:rsid w:val="00C9533E"/>
    <w:rsid w:val="00C97CBF"/>
    <w:rsid w:val="00CA19B5"/>
    <w:rsid w:val="00CA5A4A"/>
    <w:rsid w:val="00CB75D5"/>
    <w:rsid w:val="00CD1106"/>
    <w:rsid w:val="00CD2C3A"/>
    <w:rsid w:val="00D6518D"/>
    <w:rsid w:val="00D93D13"/>
    <w:rsid w:val="00DA369A"/>
    <w:rsid w:val="00DA3DD8"/>
    <w:rsid w:val="00DE11A5"/>
    <w:rsid w:val="00DF1DD4"/>
    <w:rsid w:val="00E062C6"/>
    <w:rsid w:val="00E127B5"/>
    <w:rsid w:val="00E22FA3"/>
    <w:rsid w:val="00E33AA8"/>
    <w:rsid w:val="00E350A1"/>
    <w:rsid w:val="00E46C51"/>
    <w:rsid w:val="00E8453C"/>
    <w:rsid w:val="00E90DA1"/>
    <w:rsid w:val="00EC58B8"/>
    <w:rsid w:val="00F92B70"/>
    <w:rsid w:val="00FA7FC2"/>
    <w:rsid w:val="00FC1F73"/>
    <w:rsid w:val="1F3C2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semiHidden/>
    <w:unhideWhenUsed/>
    <w:uiPriority w:val="99"/>
    <w:pPr>
      <w:spacing w:after="120"/>
    </w:pPr>
  </w:style>
  <w:style w:type="paragraph" w:styleId="3">
    <w:name w:val="Date"/>
    <w:basedOn w:val="1"/>
    <w:next w:val="1"/>
    <w:link w:val="11"/>
    <w:semiHidden/>
    <w:unhideWhenUsed/>
    <w:uiPriority w:val="99"/>
    <w:pPr>
      <w:ind w:left="100" w:leftChars="2500"/>
    </w:p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字符"/>
    <w:basedOn w:val="7"/>
    <w:link w:val="5"/>
    <w:uiPriority w:val="99"/>
    <w:rPr>
      <w:sz w:val="18"/>
      <w:szCs w:val="18"/>
    </w:rPr>
  </w:style>
  <w:style w:type="character" w:customStyle="1" w:styleId="10">
    <w:name w:val="页脚 字符"/>
    <w:basedOn w:val="7"/>
    <w:link w:val="4"/>
    <w:uiPriority w:val="99"/>
    <w:rPr>
      <w:sz w:val="18"/>
      <w:szCs w:val="18"/>
    </w:rPr>
  </w:style>
  <w:style w:type="character" w:customStyle="1" w:styleId="11">
    <w:name w:val="日期 字符"/>
    <w:basedOn w:val="7"/>
    <w:link w:val="3"/>
    <w:semiHidden/>
    <w:uiPriority w:val="99"/>
  </w:style>
  <w:style w:type="character" w:customStyle="1" w:styleId="12">
    <w:name w:val="正文文本 字符"/>
    <w:basedOn w:val="7"/>
    <w:link w:val="2"/>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6357</Words>
  <Characters>6562</Characters>
  <Lines>54</Lines>
  <Paragraphs>15</Paragraphs>
  <TotalTime>61</TotalTime>
  <ScaleCrop>false</ScaleCrop>
  <LinksUpToDate>false</LinksUpToDate>
  <CharactersWithSpaces>7046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2022-07-04T09:27:00Z</dcterms:created>
  <dc:creator>hang</dc:creator>
  <cp:lastModifiedBy>Zoe</cp:lastModifiedBy>
  <dcterms:modified xsi:type="dcterms:W3CDTF">2022-10-10T05:43:25Z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9CBF3E256217472AB1031BDE7647D3C2</vt:lpwstr>
  </property>
</Properties>
</file>