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72"/>
        </w:rPr>
      </w:pPr>
      <w:bookmarkStart w:id="88" w:name="_GoBack"/>
      <w:bookmarkEnd w:id="88"/>
      <w:r>
        <w:rPr>
          <w:rFonts w:hint="eastAsia" w:ascii="宋体" w:hAnsi="宋体"/>
          <w:b/>
          <w:sz w:val="72"/>
        </w:rPr>
        <w:t>承德市政府采购项目</w:t>
      </w:r>
    </w:p>
    <w:p>
      <w:pPr>
        <w:jc w:val="center"/>
        <w:rPr>
          <w:rFonts w:ascii="宋体"/>
          <w:b/>
          <w:sz w:val="72"/>
        </w:rPr>
      </w:pPr>
      <w:r>
        <w:rPr>
          <w:rFonts w:hint="eastAsia" w:ascii="宋体" w:hAnsi="宋体"/>
          <w:b/>
          <w:sz w:val="72"/>
        </w:rPr>
        <w:t>竞争性谈判文件</w:t>
      </w:r>
    </w:p>
    <w:p>
      <w:pPr>
        <w:spacing w:line="600" w:lineRule="exact"/>
        <w:rPr>
          <w:rFonts w:ascii="宋体"/>
          <w:b/>
          <w:sz w:val="36"/>
        </w:rPr>
      </w:pPr>
    </w:p>
    <w:tbl>
      <w:tblPr>
        <w:tblStyle w:val="39"/>
        <w:tblpPr w:leftFromText="180" w:rightFromText="180" w:vertAnchor="text" w:horzAnchor="page" w:tblpX="1645" w:tblpY="1594"/>
        <w:tblOverlap w:val="never"/>
        <w:tblW w:w="9550" w:type="dxa"/>
        <w:tblInd w:w="0" w:type="dxa"/>
        <w:tblLayout w:type="fixed"/>
        <w:tblCellMar>
          <w:top w:w="0" w:type="dxa"/>
          <w:left w:w="108" w:type="dxa"/>
          <w:bottom w:w="0" w:type="dxa"/>
          <w:right w:w="108" w:type="dxa"/>
        </w:tblCellMar>
      </w:tblPr>
      <w:tblGrid>
        <w:gridCol w:w="2730"/>
        <w:gridCol w:w="6820"/>
      </w:tblGrid>
      <w:tr>
        <w:tblPrEx>
          <w:tblCellMar>
            <w:top w:w="0" w:type="dxa"/>
            <w:left w:w="108" w:type="dxa"/>
            <w:bottom w:w="0" w:type="dxa"/>
            <w:right w:w="108" w:type="dxa"/>
          </w:tblCellMar>
        </w:tblPrEx>
        <w:tc>
          <w:tcPr>
            <w:tcW w:w="2730" w:type="dxa"/>
          </w:tcPr>
          <w:p>
            <w:pPr>
              <w:spacing w:line="600" w:lineRule="exact"/>
              <w:jc w:val="center"/>
              <w:rPr>
                <w:rFonts w:ascii="宋体"/>
                <w:b/>
                <w:sz w:val="36"/>
              </w:rPr>
            </w:pPr>
            <w:r>
              <w:rPr>
                <w:rFonts w:hint="eastAsia" w:ascii="宋体" w:hAnsi="宋体"/>
                <w:b/>
                <w:sz w:val="36"/>
              </w:rPr>
              <w:t>项 目 名 称：</w:t>
            </w:r>
          </w:p>
        </w:tc>
        <w:tc>
          <w:tcPr>
            <w:tcW w:w="6820" w:type="dxa"/>
            <w:vAlign w:val="center"/>
          </w:tcPr>
          <w:p>
            <w:pPr>
              <w:spacing w:line="600" w:lineRule="exact"/>
              <w:rPr>
                <w:rFonts w:ascii="宋体"/>
                <w:b/>
                <w:sz w:val="36"/>
              </w:rPr>
            </w:pPr>
            <w:r>
              <w:rPr>
                <w:rFonts w:hint="eastAsia" w:ascii="宋体"/>
                <w:b/>
                <w:sz w:val="36"/>
              </w:rPr>
              <w:t>承德应用技术职业学院筹建办公室新媒体营销实训基地项目</w:t>
            </w:r>
            <w:r>
              <w:rPr>
                <w:rFonts w:hint="eastAsia" w:ascii="宋体"/>
                <w:b/>
                <w:sz w:val="36"/>
                <w:lang w:eastAsia="zh-CN"/>
              </w:rPr>
              <w:t>竞争性谈判（</w:t>
            </w:r>
            <w:r>
              <w:rPr>
                <w:rFonts w:hint="eastAsia" w:ascii="宋体"/>
                <w:b/>
                <w:sz w:val="36"/>
              </w:rPr>
              <w:t>A包</w:t>
            </w:r>
            <w:r>
              <w:rPr>
                <w:rFonts w:hint="eastAsia" w:ascii="宋体"/>
                <w:b/>
                <w:sz w:val="36"/>
                <w:lang w:eastAsia="zh-CN"/>
              </w:rPr>
              <w:t>）二次</w:t>
            </w:r>
          </w:p>
        </w:tc>
      </w:tr>
      <w:tr>
        <w:tblPrEx>
          <w:tblCellMar>
            <w:top w:w="0" w:type="dxa"/>
            <w:left w:w="108" w:type="dxa"/>
            <w:bottom w:w="0" w:type="dxa"/>
            <w:right w:w="108" w:type="dxa"/>
          </w:tblCellMar>
        </w:tblPrEx>
        <w:tc>
          <w:tcPr>
            <w:tcW w:w="2730" w:type="dxa"/>
          </w:tcPr>
          <w:p>
            <w:pPr>
              <w:spacing w:line="600" w:lineRule="exact"/>
              <w:jc w:val="center"/>
              <w:rPr>
                <w:rFonts w:ascii="宋体" w:hAnsi="宋体"/>
                <w:b/>
                <w:sz w:val="36"/>
              </w:rPr>
            </w:pPr>
            <w:r>
              <w:rPr>
                <w:rFonts w:hint="eastAsia" w:ascii="宋体" w:hAnsi="宋体"/>
                <w:b/>
                <w:sz w:val="36"/>
              </w:rPr>
              <w:t>采购项目编号：</w:t>
            </w:r>
          </w:p>
        </w:tc>
        <w:tc>
          <w:tcPr>
            <w:tcW w:w="6820" w:type="dxa"/>
            <w:vAlign w:val="center"/>
          </w:tcPr>
          <w:p>
            <w:pPr>
              <w:spacing w:line="600" w:lineRule="exact"/>
              <w:rPr>
                <w:rFonts w:hint="default" w:ascii="宋体" w:eastAsia="宋体"/>
                <w:b/>
                <w:sz w:val="36"/>
                <w:lang w:val="en-US" w:eastAsia="zh-CN"/>
              </w:rPr>
            </w:pPr>
            <w:r>
              <w:rPr>
                <w:rFonts w:hint="default" w:ascii="宋体" w:eastAsia="宋体"/>
                <w:b/>
                <w:sz w:val="36"/>
                <w:lang w:val="en-US" w:eastAsia="zh-CN"/>
              </w:rPr>
              <w:t>ZC130800202300177001001</w:t>
            </w:r>
          </w:p>
        </w:tc>
      </w:tr>
      <w:tr>
        <w:tblPrEx>
          <w:tblCellMar>
            <w:top w:w="0" w:type="dxa"/>
            <w:left w:w="108" w:type="dxa"/>
            <w:bottom w:w="0" w:type="dxa"/>
            <w:right w:w="108" w:type="dxa"/>
          </w:tblCellMar>
        </w:tblPrEx>
        <w:tc>
          <w:tcPr>
            <w:tcW w:w="2730" w:type="dxa"/>
          </w:tcPr>
          <w:p>
            <w:pPr>
              <w:spacing w:line="600" w:lineRule="exact"/>
              <w:jc w:val="center"/>
              <w:rPr>
                <w:rFonts w:ascii="宋体" w:hAnsi="宋体"/>
                <w:b/>
                <w:sz w:val="36"/>
              </w:rPr>
            </w:pPr>
            <w:r>
              <w:rPr>
                <w:rFonts w:hint="eastAsia" w:ascii="宋体"/>
                <w:b/>
                <w:sz w:val="36"/>
              </w:rPr>
              <w:t>采   购   人：</w:t>
            </w:r>
          </w:p>
        </w:tc>
        <w:tc>
          <w:tcPr>
            <w:tcW w:w="6820" w:type="dxa"/>
            <w:vAlign w:val="center"/>
          </w:tcPr>
          <w:p>
            <w:pPr>
              <w:spacing w:line="600" w:lineRule="exact"/>
              <w:rPr>
                <w:rFonts w:ascii="宋体"/>
                <w:b/>
                <w:sz w:val="36"/>
              </w:rPr>
            </w:pPr>
            <w:r>
              <w:rPr>
                <w:rFonts w:hint="eastAsia" w:ascii="宋体"/>
                <w:b/>
                <w:sz w:val="36"/>
              </w:rPr>
              <w:t>承德应用技术职业学院筹建办公室</w:t>
            </w:r>
          </w:p>
        </w:tc>
      </w:tr>
      <w:tr>
        <w:tblPrEx>
          <w:tblCellMar>
            <w:top w:w="0" w:type="dxa"/>
            <w:left w:w="108" w:type="dxa"/>
            <w:bottom w:w="0" w:type="dxa"/>
            <w:right w:w="108" w:type="dxa"/>
          </w:tblCellMar>
        </w:tblPrEx>
        <w:tc>
          <w:tcPr>
            <w:tcW w:w="2730" w:type="dxa"/>
          </w:tcPr>
          <w:p>
            <w:pPr>
              <w:spacing w:line="600" w:lineRule="exact"/>
              <w:jc w:val="center"/>
              <w:rPr>
                <w:rFonts w:ascii="宋体"/>
                <w:b/>
                <w:sz w:val="36"/>
              </w:rPr>
            </w:pPr>
            <w:r>
              <w:rPr>
                <w:rFonts w:hint="eastAsia" w:ascii="宋体" w:hAnsi="宋体"/>
                <w:b/>
                <w:sz w:val="36"/>
              </w:rPr>
              <w:t>采购代理机构：</w:t>
            </w:r>
          </w:p>
        </w:tc>
        <w:tc>
          <w:tcPr>
            <w:tcW w:w="6820" w:type="dxa"/>
            <w:vAlign w:val="center"/>
          </w:tcPr>
          <w:p>
            <w:pPr>
              <w:spacing w:line="600" w:lineRule="exact"/>
              <w:rPr>
                <w:rFonts w:ascii="宋体"/>
                <w:b/>
                <w:sz w:val="36"/>
              </w:rPr>
            </w:pPr>
            <w:r>
              <w:rPr>
                <w:rFonts w:hint="eastAsia" w:ascii="宋体"/>
                <w:b/>
                <w:sz w:val="36"/>
              </w:rPr>
              <w:t>承德市政府采购中心</w:t>
            </w:r>
          </w:p>
        </w:tc>
      </w:tr>
    </w:tbl>
    <w:p>
      <w:pPr>
        <w:spacing w:line="600" w:lineRule="exact"/>
        <w:rPr>
          <w:rFonts w:ascii="宋体"/>
          <w:b/>
          <w:sz w:val="36"/>
        </w:rPr>
      </w:pPr>
    </w:p>
    <w:p>
      <w:pPr>
        <w:spacing w:line="600" w:lineRule="exact"/>
        <w:rPr>
          <w:rFonts w:ascii="宋体"/>
        </w:rPr>
      </w:pPr>
    </w:p>
    <w:p>
      <w:pPr>
        <w:tabs>
          <w:tab w:val="left" w:pos="6028"/>
        </w:tabs>
        <w:spacing w:line="600" w:lineRule="exact"/>
        <w:rPr>
          <w:rFonts w:ascii="宋体"/>
        </w:rPr>
      </w:pPr>
      <w:r>
        <w:rPr>
          <w:rFonts w:ascii="宋体"/>
        </w:rPr>
        <w:tab/>
      </w:r>
    </w:p>
    <w:p>
      <w:pPr>
        <w:pStyle w:val="58"/>
      </w:pPr>
    </w:p>
    <w:p>
      <w:pPr>
        <w:pStyle w:val="58"/>
      </w:pPr>
    </w:p>
    <w:p>
      <w:pPr>
        <w:spacing w:line="600" w:lineRule="exact"/>
        <w:jc w:val="center"/>
        <w:rPr>
          <w:rFonts w:ascii="宋体"/>
          <w:b/>
          <w:sz w:val="36"/>
        </w:rPr>
      </w:pPr>
    </w:p>
    <w:p>
      <w:pPr>
        <w:pStyle w:val="23"/>
        <w:spacing w:line="600" w:lineRule="exact"/>
        <w:jc w:val="center"/>
        <w:rPr>
          <w:rFonts w:ascii="宋体"/>
          <w:b/>
          <w:sz w:val="36"/>
        </w:rPr>
      </w:pPr>
      <w:r>
        <w:rPr>
          <w:rFonts w:hint="eastAsia" w:ascii="宋体" w:hAnsi="宋体"/>
          <w:b/>
          <w:sz w:val="36"/>
        </w:rPr>
        <w:t>二○二</w:t>
      </w:r>
      <w:r>
        <w:rPr>
          <w:rFonts w:hint="eastAsia" w:ascii="宋体" w:hAnsi="宋体"/>
          <w:b/>
          <w:sz w:val="36"/>
          <w:lang w:eastAsia="zh-CN"/>
        </w:rPr>
        <w:t>三</w:t>
      </w:r>
      <w:r>
        <w:rPr>
          <w:rFonts w:hint="eastAsia" w:ascii="宋体" w:hAnsi="宋体"/>
          <w:b/>
          <w:sz w:val="36"/>
        </w:rPr>
        <w:t>年</w:t>
      </w:r>
      <w:r>
        <w:rPr>
          <w:rFonts w:hint="eastAsia" w:ascii="宋体" w:hAnsi="宋体"/>
          <w:b/>
          <w:sz w:val="36"/>
          <w:lang w:eastAsia="zh-CN"/>
        </w:rPr>
        <w:t>三</w:t>
      </w:r>
      <w:r>
        <w:rPr>
          <w:rFonts w:hint="eastAsia" w:ascii="宋体" w:hAnsi="宋体"/>
          <w:b/>
          <w:sz w:val="36"/>
        </w:rPr>
        <w:t>月</w:t>
      </w:r>
    </w:p>
    <w:p>
      <w:pPr>
        <w:spacing w:line="600" w:lineRule="exact"/>
        <w:jc w:val="center"/>
        <w:rPr>
          <w:rStyle w:val="185"/>
          <w:rFonts w:ascii="宋体"/>
          <w:b/>
          <w:bCs/>
          <w:sz w:val="32"/>
          <w:szCs w:val="18"/>
        </w:rPr>
        <w:sectPr>
          <w:footerReference r:id="rId3" w:type="default"/>
          <w:footerReference r:id="rId4" w:type="even"/>
          <w:pgSz w:w="11906" w:h="16838"/>
          <w:pgMar w:top="1440" w:right="1587" w:bottom="1440" w:left="1587" w:header="851" w:footer="992" w:gutter="0"/>
          <w:cols w:space="720" w:num="1"/>
          <w:titlePg/>
          <w:docGrid w:type="lines" w:linePitch="312" w:charSpace="0"/>
        </w:sectPr>
      </w:pPr>
    </w:p>
    <w:p>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44"/>
        </w:rPr>
      </w:pPr>
      <w:r>
        <w:rPr>
          <w:rFonts w:hint="eastAsia" w:ascii="黑体" w:hAnsi="黑体" w:eastAsia="黑体" w:cs="黑体"/>
          <w:color w:val="auto"/>
          <w:sz w:val="44"/>
          <w:szCs w:val="44"/>
        </w:rPr>
        <w:t>目</w:t>
      </w:r>
      <w:r>
        <w:rPr>
          <w:rFonts w:hint="eastAsia" w:ascii="黑体" w:hAnsi="黑体" w:eastAsia="黑体" w:cs="黑体"/>
          <w:color w:val="auto"/>
          <w:sz w:val="44"/>
          <w:szCs w:val="44"/>
          <w:lang w:val="en-US" w:eastAsia="zh-CN"/>
        </w:rPr>
        <w:t xml:space="preserve">  </w:t>
      </w:r>
      <w:r>
        <w:rPr>
          <w:rFonts w:hint="eastAsia" w:ascii="黑体" w:hAnsi="黑体" w:eastAsia="黑体" w:cs="黑体"/>
          <w:color w:val="auto"/>
          <w:sz w:val="44"/>
          <w:szCs w:val="44"/>
        </w:rPr>
        <w:t>录</w:t>
      </w:r>
    </w:p>
    <w:p>
      <w:pPr>
        <w:pStyle w:val="27"/>
        <w:tabs>
          <w:tab w:val="right" w:leader="dot" w:pos="8732"/>
        </w:tabs>
      </w:pPr>
      <w:r>
        <w:rPr>
          <w:b/>
          <w:bCs/>
          <w:color w:val="auto"/>
          <w:szCs w:val="28"/>
          <w:lang w:val="zh-CN"/>
        </w:rPr>
        <w:fldChar w:fldCharType="begin"/>
      </w:r>
      <w:r>
        <w:rPr>
          <w:b/>
          <w:bCs/>
          <w:color w:val="auto"/>
          <w:szCs w:val="28"/>
          <w:lang w:val="zh-CN"/>
        </w:rPr>
        <w:instrText xml:space="preserve">TOC \o "1-2" \h \u </w:instrText>
      </w:r>
      <w:r>
        <w:rPr>
          <w:b/>
          <w:bCs/>
          <w:color w:val="auto"/>
          <w:szCs w:val="28"/>
          <w:lang w:val="zh-CN"/>
        </w:rPr>
        <w:fldChar w:fldCharType="separate"/>
      </w:r>
      <w:r>
        <w:rPr>
          <w:bCs/>
          <w:color w:val="auto"/>
          <w:szCs w:val="28"/>
          <w:lang w:val="zh-CN"/>
        </w:rPr>
        <w:fldChar w:fldCharType="begin"/>
      </w:r>
      <w:r>
        <w:rPr>
          <w:bCs/>
          <w:szCs w:val="28"/>
          <w:lang w:val="zh-CN"/>
        </w:rPr>
        <w:instrText xml:space="preserve"> HYPERLINK \l _Toc8556 </w:instrText>
      </w:r>
      <w:r>
        <w:rPr>
          <w:bCs/>
          <w:szCs w:val="28"/>
          <w:lang w:val="zh-CN"/>
        </w:rPr>
        <w:fldChar w:fldCharType="separate"/>
      </w:r>
      <w:r>
        <w:rPr>
          <w:rFonts w:hint="eastAsia" w:ascii="宋体" w:hAnsi="宋体"/>
          <w:szCs w:val="36"/>
        </w:rPr>
        <w:t>第一部分</w:t>
      </w:r>
      <w:r>
        <w:rPr>
          <w:rFonts w:ascii="宋体" w:hAnsi="宋体"/>
          <w:szCs w:val="36"/>
        </w:rPr>
        <w:t xml:space="preserve"> </w:t>
      </w:r>
      <w:r>
        <w:rPr>
          <w:rFonts w:hint="eastAsia" w:ascii="宋体" w:hAnsi="宋体"/>
          <w:szCs w:val="36"/>
        </w:rPr>
        <w:t>邀请函</w:t>
      </w:r>
      <w:r>
        <w:tab/>
      </w:r>
      <w:r>
        <w:fldChar w:fldCharType="begin"/>
      </w:r>
      <w:r>
        <w:instrText xml:space="preserve"> PAGEREF _Toc8556 \h </w:instrText>
      </w:r>
      <w:r>
        <w:fldChar w:fldCharType="separate"/>
      </w:r>
      <w:r>
        <w:t>- 1 -</w:t>
      </w:r>
      <w:r>
        <w:fldChar w:fldCharType="end"/>
      </w:r>
      <w:r>
        <w:rPr>
          <w:bCs/>
          <w:color w:val="auto"/>
          <w:szCs w:val="28"/>
          <w:lang w:val="zh-CN"/>
        </w:rPr>
        <w:fldChar w:fldCharType="end"/>
      </w:r>
    </w:p>
    <w:p>
      <w:pPr>
        <w:pStyle w:val="27"/>
        <w:tabs>
          <w:tab w:val="right" w:leader="dot" w:pos="8732"/>
        </w:tabs>
      </w:pPr>
      <w:r>
        <w:rPr>
          <w:bCs/>
          <w:color w:val="auto"/>
          <w:szCs w:val="28"/>
          <w:lang w:val="zh-CN"/>
        </w:rPr>
        <w:fldChar w:fldCharType="begin"/>
      </w:r>
      <w:r>
        <w:rPr>
          <w:bCs/>
          <w:szCs w:val="28"/>
          <w:lang w:val="zh-CN"/>
        </w:rPr>
        <w:instrText xml:space="preserve"> HYPERLINK \l _Toc24661 </w:instrText>
      </w:r>
      <w:r>
        <w:rPr>
          <w:bCs/>
          <w:szCs w:val="28"/>
          <w:lang w:val="zh-CN"/>
        </w:rPr>
        <w:fldChar w:fldCharType="separate"/>
      </w:r>
      <w:r>
        <w:rPr>
          <w:rFonts w:hint="eastAsia" w:hAnsi="宋体"/>
          <w:bCs/>
          <w:szCs w:val="36"/>
        </w:rPr>
        <w:t>第二部分  投标须知</w:t>
      </w:r>
      <w:r>
        <w:tab/>
      </w:r>
      <w:r>
        <w:fldChar w:fldCharType="begin"/>
      </w:r>
      <w:r>
        <w:instrText xml:space="preserve"> PAGEREF _Toc24661 \h </w:instrText>
      </w:r>
      <w:r>
        <w:fldChar w:fldCharType="separate"/>
      </w:r>
      <w:r>
        <w:t>- 3 -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_Toc4722 </w:instrText>
      </w:r>
      <w:r>
        <w:rPr>
          <w:bCs/>
          <w:szCs w:val="28"/>
          <w:lang w:val="zh-CN"/>
        </w:rPr>
        <w:fldChar w:fldCharType="separate"/>
      </w:r>
      <w:r>
        <w:rPr>
          <w:rFonts w:hint="eastAsia" w:hAnsi="宋体"/>
          <w:bCs/>
          <w:szCs w:val="24"/>
        </w:rPr>
        <w:t>Ａ 说  明</w:t>
      </w:r>
      <w:r>
        <w:tab/>
      </w:r>
      <w:r>
        <w:fldChar w:fldCharType="begin"/>
      </w:r>
      <w:r>
        <w:instrText xml:space="preserve"> PAGEREF _Toc4722 \h </w:instrText>
      </w:r>
      <w:r>
        <w:fldChar w:fldCharType="separate"/>
      </w:r>
      <w:r>
        <w:t>- 3 -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_Toc20733 </w:instrText>
      </w:r>
      <w:r>
        <w:rPr>
          <w:bCs/>
          <w:szCs w:val="28"/>
          <w:lang w:val="zh-CN"/>
        </w:rPr>
        <w:fldChar w:fldCharType="separate"/>
      </w:r>
      <w:r>
        <w:rPr>
          <w:rFonts w:hint="eastAsia"/>
          <w:bCs/>
        </w:rPr>
        <w:t>Ｂ 谈判文件说明</w:t>
      </w:r>
      <w:r>
        <w:tab/>
      </w:r>
      <w:r>
        <w:fldChar w:fldCharType="begin"/>
      </w:r>
      <w:r>
        <w:instrText xml:space="preserve"> PAGEREF _Toc20733 \h </w:instrText>
      </w:r>
      <w:r>
        <w:fldChar w:fldCharType="separate"/>
      </w:r>
      <w:r>
        <w:t>- 9 -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_Toc29285 </w:instrText>
      </w:r>
      <w:r>
        <w:rPr>
          <w:bCs/>
          <w:szCs w:val="28"/>
          <w:lang w:val="zh-CN"/>
        </w:rPr>
        <w:fldChar w:fldCharType="separate"/>
      </w:r>
      <w:r>
        <w:rPr>
          <w:rFonts w:hint="eastAsia" w:ascii="宋体" w:hAnsi="宋体"/>
          <w:bCs/>
        </w:rPr>
        <w:t>Ｃ 响应文件的编写</w:t>
      </w:r>
      <w:r>
        <w:tab/>
      </w:r>
      <w:r>
        <w:fldChar w:fldCharType="begin"/>
      </w:r>
      <w:r>
        <w:instrText xml:space="preserve"> PAGEREF _Toc29285 \h </w:instrText>
      </w:r>
      <w:r>
        <w:fldChar w:fldCharType="separate"/>
      </w:r>
      <w:r>
        <w:t>- 9 -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_Toc9226 </w:instrText>
      </w:r>
      <w:r>
        <w:rPr>
          <w:bCs/>
          <w:szCs w:val="28"/>
          <w:lang w:val="zh-CN"/>
        </w:rPr>
        <w:fldChar w:fldCharType="separate"/>
      </w:r>
      <w:r>
        <w:rPr>
          <w:rFonts w:hint="eastAsia" w:ascii="宋体" w:hAnsi="宋体"/>
          <w:bCs/>
        </w:rPr>
        <w:t>Ｄ 响应文件的提交</w:t>
      </w:r>
      <w:r>
        <w:tab/>
      </w:r>
      <w:r>
        <w:fldChar w:fldCharType="begin"/>
      </w:r>
      <w:r>
        <w:instrText xml:space="preserve"> PAGEREF _Toc9226 \h </w:instrText>
      </w:r>
      <w:r>
        <w:fldChar w:fldCharType="separate"/>
      </w:r>
      <w:r>
        <w:t>- 10 -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_Toc1717 </w:instrText>
      </w:r>
      <w:r>
        <w:rPr>
          <w:bCs/>
          <w:szCs w:val="28"/>
          <w:lang w:val="zh-CN"/>
        </w:rPr>
        <w:fldChar w:fldCharType="separate"/>
      </w:r>
      <w:r>
        <w:rPr>
          <w:rFonts w:hint="eastAsia" w:ascii="宋体" w:hAnsi="宋体"/>
          <w:szCs w:val="20"/>
        </w:rPr>
        <w:t>Ｅ 开标和评标</w:t>
      </w:r>
      <w:r>
        <w:tab/>
      </w:r>
      <w:r>
        <w:fldChar w:fldCharType="begin"/>
      </w:r>
      <w:r>
        <w:instrText xml:space="preserve"> PAGEREF _Toc1717 \h </w:instrText>
      </w:r>
      <w:r>
        <w:fldChar w:fldCharType="separate"/>
      </w:r>
      <w:r>
        <w:t>- 10 -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_Toc3156 </w:instrText>
      </w:r>
      <w:r>
        <w:rPr>
          <w:bCs/>
          <w:szCs w:val="28"/>
          <w:lang w:val="zh-CN"/>
        </w:rPr>
        <w:fldChar w:fldCharType="separate"/>
      </w:r>
      <w:r>
        <w:rPr>
          <w:rFonts w:hint="eastAsia" w:ascii="宋体" w:hAnsi="宋体"/>
          <w:szCs w:val="20"/>
        </w:rPr>
        <w:t>Ｆ 授予合同</w:t>
      </w:r>
      <w:r>
        <w:tab/>
      </w:r>
      <w:r>
        <w:fldChar w:fldCharType="begin"/>
      </w:r>
      <w:r>
        <w:instrText xml:space="preserve"> PAGEREF _Toc3156 \h </w:instrText>
      </w:r>
      <w:r>
        <w:fldChar w:fldCharType="separate"/>
      </w:r>
      <w:r>
        <w:t>- 14 -</w:t>
      </w:r>
      <w:r>
        <w:fldChar w:fldCharType="end"/>
      </w:r>
      <w:r>
        <w:rPr>
          <w:bCs/>
          <w:color w:val="auto"/>
          <w:szCs w:val="28"/>
          <w:lang w:val="zh-CN"/>
        </w:rPr>
        <w:fldChar w:fldCharType="end"/>
      </w:r>
    </w:p>
    <w:p>
      <w:pPr>
        <w:pStyle w:val="27"/>
        <w:tabs>
          <w:tab w:val="right" w:leader="dot" w:pos="8732"/>
        </w:tabs>
      </w:pPr>
      <w:r>
        <w:rPr>
          <w:bCs/>
          <w:color w:val="auto"/>
          <w:szCs w:val="28"/>
          <w:lang w:val="zh-CN"/>
        </w:rPr>
        <w:fldChar w:fldCharType="begin"/>
      </w:r>
      <w:r>
        <w:rPr>
          <w:bCs/>
          <w:szCs w:val="28"/>
          <w:lang w:val="zh-CN"/>
        </w:rPr>
        <w:instrText xml:space="preserve"> HYPERLINK \l _Toc30020 </w:instrText>
      </w:r>
      <w:r>
        <w:rPr>
          <w:bCs/>
          <w:szCs w:val="28"/>
          <w:lang w:val="zh-CN"/>
        </w:rPr>
        <w:fldChar w:fldCharType="separate"/>
      </w:r>
      <w:r>
        <w:rPr>
          <w:rFonts w:hint="eastAsia" w:hAnsi="宋体"/>
          <w:bCs/>
          <w:szCs w:val="18"/>
        </w:rPr>
        <w:t xml:space="preserve">第三部分 </w:t>
      </w:r>
      <w:r>
        <w:rPr>
          <w:rFonts w:hint="eastAsia" w:hAnsi="宋体" w:cs="Arial"/>
          <w:bCs/>
        </w:rPr>
        <w:t>政府采购合同</w:t>
      </w:r>
      <w:r>
        <w:rPr>
          <w:rFonts w:hAnsi="宋体"/>
          <w:bCs/>
          <w:szCs w:val="18"/>
        </w:rPr>
        <w:t>(</w:t>
      </w:r>
      <w:r>
        <w:rPr>
          <w:rFonts w:hint="eastAsia" w:hAnsi="宋体"/>
          <w:bCs/>
          <w:szCs w:val="18"/>
        </w:rPr>
        <w:t>供参考</w:t>
      </w:r>
      <w:r>
        <w:rPr>
          <w:rFonts w:hAnsi="宋体"/>
          <w:bCs/>
          <w:szCs w:val="18"/>
        </w:rPr>
        <w:t>)</w:t>
      </w:r>
      <w:r>
        <w:tab/>
      </w:r>
      <w:r>
        <w:fldChar w:fldCharType="begin"/>
      </w:r>
      <w:r>
        <w:instrText xml:space="preserve"> PAGEREF _Toc30020 \h </w:instrText>
      </w:r>
      <w:r>
        <w:fldChar w:fldCharType="separate"/>
      </w:r>
      <w:r>
        <w:t>- 16 -</w:t>
      </w:r>
      <w:r>
        <w:fldChar w:fldCharType="end"/>
      </w:r>
      <w:r>
        <w:rPr>
          <w:bCs/>
          <w:color w:val="auto"/>
          <w:szCs w:val="28"/>
          <w:lang w:val="zh-CN"/>
        </w:rPr>
        <w:fldChar w:fldCharType="end"/>
      </w:r>
    </w:p>
    <w:p>
      <w:pPr>
        <w:pStyle w:val="27"/>
        <w:tabs>
          <w:tab w:val="right" w:leader="dot" w:pos="8732"/>
        </w:tabs>
      </w:pPr>
      <w:r>
        <w:rPr>
          <w:bCs/>
          <w:color w:val="auto"/>
          <w:szCs w:val="28"/>
          <w:lang w:val="zh-CN"/>
        </w:rPr>
        <w:fldChar w:fldCharType="begin"/>
      </w:r>
      <w:r>
        <w:rPr>
          <w:bCs/>
          <w:szCs w:val="28"/>
          <w:lang w:val="zh-CN"/>
        </w:rPr>
        <w:instrText xml:space="preserve"> HYPERLINK \l _Toc1277 </w:instrText>
      </w:r>
      <w:r>
        <w:rPr>
          <w:bCs/>
          <w:szCs w:val="28"/>
          <w:lang w:val="zh-CN"/>
        </w:rPr>
        <w:fldChar w:fldCharType="separate"/>
      </w:r>
      <w:r>
        <w:rPr>
          <w:rFonts w:hint="eastAsia" w:ascii="宋体" w:hAnsi="宋体" w:cs="宋体"/>
          <w:kern w:val="44"/>
          <w:szCs w:val="36"/>
        </w:rPr>
        <w:t xml:space="preserve">第四部分 </w:t>
      </w:r>
      <w:r>
        <w:rPr>
          <w:rFonts w:ascii="宋体" w:hAnsi="宋体" w:cs="宋体"/>
          <w:kern w:val="44"/>
          <w:szCs w:val="36"/>
        </w:rPr>
        <w:t xml:space="preserve"> </w:t>
      </w:r>
      <w:r>
        <w:rPr>
          <w:rFonts w:hint="eastAsia" w:ascii="宋体" w:hAnsi="宋体" w:cs="宋体"/>
          <w:kern w:val="44"/>
          <w:szCs w:val="36"/>
        </w:rPr>
        <w:t>采购项目要求</w:t>
      </w:r>
      <w:r>
        <w:tab/>
      </w:r>
      <w:r>
        <w:fldChar w:fldCharType="begin"/>
      </w:r>
      <w:r>
        <w:instrText xml:space="preserve"> PAGEREF _Toc1277 \h </w:instrText>
      </w:r>
      <w:r>
        <w:fldChar w:fldCharType="separate"/>
      </w:r>
      <w:r>
        <w:t>- 27 -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_Toc3687 </w:instrText>
      </w:r>
      <w:r>
        <w:rPr>
          <w:bCs/>
          <w:szCs w:val="28"/>
          <w:lang w:val="zh-CN"/>
        </w:rPr>
        <w:fldChar w:fldCharType="separate"/>
      </w:r>
      <w:r>
        <w:rPr>
          <w:rFonts w:hint="eastAsia" w:ascii="宋体" w:hAnsi="宋体"/>
          <w:bCs/>
        </w:rPr>
        <w:t>响应文件封面格式</w:t>
      </w:r>
      <w:r>
        <w:tab/>
      </w:r>
      <w:r>
        <w:fldChar w:fldCharType="begin"/>
      </w:r>
      <w:r>
        <w:instrText xml:space="preserve"> PAGEREF _Toc3687 \h </w:instrText>
      </w:r>
      <w:r>
        <w:fldChar w:fldCharType="separate"/>
      </w:r>
      <w:r>
        <w:t>- 30 -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_Toc16340 </w:instrText>
      </w:r>
      <w:r>
        <w:rPr>
          <w:bCs/>
          <w:szCs w:val="28"/>
          <w:lang w:val="zh-CN"/>
        </w:rPr>
        <w:fldChar w:fldCharType="separate"/>
      </w:r>
      <w:r>
        <w:rPr>
          <w:rFonts w:hint="eastAsia"/>
        </w:rPr>
        <w:t>投</w:t>
      </w:r>
      <w:r>
        <w:rPr>
          <w:rFonts w:hint="eastAsia"/>
          <w:lang w:val="en-US" w:eastAsia="zh-CN"/>
        </w:rPr>
        <w:t xml:space="preserve"> </w:t>
      </w:r>
      <w:r>
        <w:rPr>
          <w:rFonts w:hint="eastAsia"/>
        </w:rPr>
        <w:t>标</w:t>
      </w:r>
      <w:r>
        <w:rPr>
          <w:rFonts w:hint="eastAsia"/>
          <w:lang w:val="en-US" w:eastAsia="zh-CN"/>
        </w:rPr>
        <w:t xml:space="preserve"> </w:t>
      </w:r>
      <w:r>
        <w:rPr>
          <w:rFonts w:hint="eastAsia"/>
        </w:rPr>
        <w:t>函</w:t>
      </w:r>
      <w:r>
        <w:tab/>
      </w:r>
      <w:r>
        <w:fldChar w:fldCharType="begin"/>
      </w:r>
      <w:r>
        <w:instrText xml:space="preserve"> PAGEREF _Toc16340 \h </w:instrText>
      </w:r>
      <w:r>
        <w:fldChar w:fldCharType="separate"/>
      </w:r>
      <w:r>
        <w:t>- 31 -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_Toc7231 </w:instrText>
      </w:r>
      <w:r>
        <w:rPr>
          <w:bCs/>
          <w:szCs w:val="28"/>
          <w:lang w:val="zh-CN"/>
        </w:rPr>
        <w:fldChar w:fldCharType="separate"/>
      </w:r>
      <w:r>
        <w:rPr>
          <w:rFonts w:hint="eastAsia"/>
        </w:rPr>
        <w:t>开标一览表</w:t>
      </w:r>
      <w:r>
        <w:tab/>
      </w:r>
      <w:r>
        <w:fldChar w:fldCharType="begin"/>
      </w:r>
      <w:r>
        <w:instrText xml:space="preserve"> PAGEREF _Toc7231 \h </w:instrText>
      </w:r>
      <w:r>
        <w:fldChar w:fldCharType="separate"/>
      </w:r>
      <w:r>
        <w:t>- 32 -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_Toc26588 </w:instrText>
      </w:r>
      <w:r>
        <w:rPr>
          <w:bCs/>
          <w:szCs w:val="28"/>
          <w:lang w:val="zh-CN"/>
        </w:rPr>
        <w:fldChar w:fldCharType="separate"/>
      </w:r>
      <w:r>
        <w:rPr>
          <w:rFonts w:hint="eastAsia"/>
        </w:rPr>
        <w:t>投标报价表（货物类）</w:t>
      </w:r>
      <w:r>
        <w:tab/>
      </w:r>
      <w:r>
        <w:fldChar w:fldCharType="begin"/>
      </w:r>
      <w:r>
        <w:instrText xml:space="preserve"> PAGEREF _Toc26588 \h </w:instrText>
      </w:r>
      <w:r>
        <w:fldChar w:fldCharType="separate"/>
      </w:r>
      <w:r>
        <w:t>- 33 -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_Toc2454 </w:instrText>
      </w:r>
      <w:r>
        <w:rPr>
          <w:bCs/>
          <w:szCs w:val="28"/>
          <w:lang w:val="zh-CN"/>
        </w:rPr>
        <w:fldChar w:fldCharType="separate"/>
      </w:r>
      <w:r>
        <w:rPr>
          <w:rFonts w:hint="eastAsia" w:ascii="宋体" w:hAnsi="宋体"/>
          <w:bCs w:val="0"/>
          <w:szCs w:val="28"/>
        </w:rPr>
        <w:t>货物或服务方案描述</w:t>
      </w:r>
      <w:r>
        <w:tab/>
      </w:r>
      <w:r>
        <w:fldChar w:fldCharType="begin"/>
      </w:r>
      <w:r>
        <w:instrText xml:space="preserve"> PAGEREF _Toc2454 \h </w:instrText>
      </w:r>
      <w:r>
        <w:fldChar w:fldCharType="separate"/>
      </w:r>
      <w:r>
        <w:t>- 34 -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_Toc24874 </w:instrText>
      </w:r>
      <w:r>
        <w:rPr>
          <w:bCs/>
          <w:szCs w:val="28"/>
          <w:lang w:val="zh-CN"/>
        </w:rPr>
        <w:fldChar w:fldCharType="separate"/>
      </w:r>
      <w:r>
        <w:rPr>
          <w:rFonts w:hint="eastAsia" w:ascii="宋体" w:hAnsi="宋体"/>
        </w:rPr>
        <w:t>商务条款偏离表</w:t>
      </w:r>
      <w:r>
        <w:tab/>
      </w:r>
      <w:r>
        <w:fldChar w:fldCharType="begin"/>
      </w:r>
      <w:r>
        <w:instrText xml:space="preserve"> PAGEREF _Toc24874 \h </w:instrText>
      </w:r>
      <w:r>
        <w:fldChar w:fldCharType="separate"/>
      </w:r>
      <w:r>
        <w:t>- 35 -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_Toc1244 </w:instrText>
      </w:r>
      <w:r>
        <w:rPr>
          <w:bCs/>
          <w:szCs w:val="28"/>
          <w:lang w:val="zh-CN"/>
        </w:rPr>
        <w:fldChar w:fldCharType="separate"/>
      </w:r>
      <w:r>
        <w:rPr>
          <w:rFonts w:hint="eastAsia" w:ascii="宋体" w:hAnsi="宋体"/>
          <w:lang w:eastAsia="zh-CN"/>
        </w:rPr>
        <w:t>采购需求</w:t>
      </w:r>
      <w:r>
        <w:rPr>
          <w:rFonts w:hint="eastAsia" w:ascii="宋体" w:hAnsi="宋体"/>
        </w:rPr>
        <w:t>偏离表</w:t>
      </w:r>
      <w:r>
        <w:tab/>
      </w:r>
      <w:r>
        <w:fldChar w:fldCharType="begin"/>
      </w:r>
      <w:r>
        <w:instrText xml:space="preserve"> PAGEREF _Toc1244 \h </w:instrText>
      </w:r>
      <w:r>
        <w:fldChar w:fldCharType="separate"/>
      </w:r>
      <w:r>
        <w:t>- 36 -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_Toc14440 </w:instrText>
      </w:r>
      <w:r>
        <w:rPr>
          <w:bCs/>
          <w:szCs w:val="28"/>
          <w:lang w:val="zh-CN"/>
        </w:rPr>
        <w:fldChar w:fldCharType="separate"/>
      </w:r>
      <w:r>
        <w:rPr>
          <w:rFonts w:hint="eastAsia" w:ascii="宋体" w:hAnsi="宋体"/>
          <w:bCs/>
          <w:szCs w:val="28"/>
        </w:rPr>
        <w:t>项目</w:t>
      </w:r>
      <w:r>
        <w:rPr>
          <w:rFonts w:hint="eastAsia" w:hAnsi="宋体"/>
          <w:szCs w:val="28"/>
        </w:rPr>
        <w:t>团队建设</w:t>
      </w:r>
      <w:r>
        <w:tab/>
      </w:r>
      <w:r>
        <w:fldChar w:fldCharType="begin"/>
      </w:r>
      <w:r>
        <w:instrText xml:space="preserve"> PAGEREF _Toc14440 \h </w:instrText>
      </w:r>
      <w:r>
        <w:fldChar w:fldCharType="separate"/>
      </w:r>
      <w:r>
        <w:t>- 37 -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_Toc10251 </w:instrText>
      </w:r>
      <w:r>
        <w:rPr>
          <w:bCs/>
          <w:szCs w:val="28"/>
          <w:lang w:val="zh-CN"/>
        </w:rPr>
        <w:fldChar w:fldCharType="separate"/>
      </w:r>
      <w:r>
        <w:rPr>
          <w:rFonts w:hint="eastAsia" w:hAnsi="宋体"/>
          <w:szCs w:val="28"/>
        </w:rPr>
        <w:t>工作人员培训及管理</w:t>
      </w:r>
      <w:r>
        <w:tab/>
      </w:r>
      <w:r>
        <w:fldChar w:fldCharType="begin"/>
      </w:r>
      <w:r>
        <w:instrText xml:space="preserve"> PAGEREF _Toc10251 \h </w:instrText>
      </w:r>
      <w:r>
        <w:fldChar w:fldCharType="separate"/>
      </w:r>
      <w:r>
        <w:t>- 37 -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_Toc18372 </w:instrText>
      </w:r>
      <w:r>
        <w:rPr>
          <w:bCs/>
          <w:szCs w:val="28"/>
          <w:lang w:val="zh-CN"/>
        </w:rPr>
        <w:fldChar w:fldCharType="separate"/>
      </w:r>
      <w:r>
        <w:rPr>
          <w:rFonts w:hint="eastAsia" w:hAnsi="宋体"/>
          <w:szCs w:val="28"/>
        </w:rPr>
        <w:t>售后服务承诺等</w:t>
      </w:r>
      <w:r>
        <w:tab/>
      </w:r>
      <w:r>
        <w:fldChar w:fldCharType="begin"/>
      </w:r>
      <w:r>
        <w:instrText xml:space="preserve"> PAGEREF _Toc18372 \h </w:instrText>
      </w:r>
      <w:r>
        <w:fldChar w:fldCharType="separate"/>
      </w:r>
      <w:r>
        <w:t>- 37 -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_Toc13410 </w:instrText>
      </w:r>
      <w:r>
        <w:rPr>
          <w:bCs/>
          <w:szCs w:val="28"/>
          <w:lang w:val="zh-CN"/>
        </w:rPr>
        <w:fldChar w:fldCharType="separate"/>
      </w:r>
      <w:r>
        <w:rPr>
          <w:rFonts w:hint="eastAsia" w:hAnsi="宋体"/>
          <w:szCs w:val="28"/>
        </w:rPr>
        <w:t>资质证明文件</w:t>
      </w:r>
      <w:r>
        <w:tab/>
      </w:r>
      <w:r>
        <w:fldChar w:fldCharType="begin"/>
      </w:r>
      <w:r>
        <w:instrText xml:space="preserve"> PAGEREF _Toc13410 \h </w:instrText>
      </w:r>
      <w:r>
        <w:fldChar w:fldCharType="separate"/>
      </w:r>
      <w:r>
        <w:t>- 37 -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_Toc1051 </w:instrText>
      </w:r>
      <w:r>
        <w:rPr>
          <w:bCs/>
          <w:szCs w:val="28"/>
          <w:lang w:val="zh-CN"/>
        </w:rPr>
        <w:fldChar w:fldCharType="separate"/>
      </w:r>
      <w:r>
        <w:rPr>
          <w:rFonts w:hint="eastAsia" w:hAnsi="宋体"/>
          <w:szCs w:val="28"/>
        </w:rPr>
        <w:t>类似业绩及相关证明</w:t>
      </w:r>
      <w:r>
        <w:tab/>
      </w:r>
      <w:r>
        <w:fldChar w:fldCharType="begin"/>
      </w:r>
      <w:r>
        <w:instrText xml:space="preserve"> PAGEREF _Toc1051 \h </w:instrText>
      </w:r>
      <w:r>
        <w:fldChar w:fldCharType="separate"/>
      </w:r>
      <w:r>
        <w:t>- 37 -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_Toc10598 </w:instrText>
      </w:r>
      <w:r>
        <w:rPr>
          <w:bCs/>
          <w:szCs w:val="28"/>
          <w:lang w:val="zh-CN"/>
        </w:rPr>
        <w:fldChar w:fldCharType="separate"/>
      </w:r>
      <w:r>
        <w:rPr>
          <w:rFonts w:hint="eastAsia" w:hAnsi="宋体"/>
          <w:szCs w:val="28"/>
        </w:rPr>
        <w:t>供应商认为需要提供的其他资料</w:t>
      </w:r>
      <w:r>
        <w:tab/>
      </w:r>
      <w:r>
        <w:fldChar w:fldCharType="begin"/>
      </w:r>
      <w:r>
        <w:instrText xml:space="preserve"> PAGEREF _Toc10598 \h </w:instrText>
      </w:r>
      <w:r>
        <w:fldChar w:fldCharType="separate"/>
      </w:r>
      <w:r>
        <w:t>- 37 -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_Toc15507 </w:instrText>
      </w:r>
      <w:r>
        <w:rPr>
          <w:bCs/>
          <w:szCs w:val="28"/>
          <w:lang w:val="zh-CN"/>
        </w:rPr>
        <w:fldChar w:fldCharType="separate"/>
      </w:r>
      <w:r>
        <w:rPr>
          <w:rFonts w:hint="eastAsia"/>
        </w:rPr>
        <w:t>法定代表人证明</w:t>
      </w:r>
      <w:r>
        <w:tab/>
      </w:r>
      <w:r>
        <w:fldChar w:fldCharType="begin"/>
      </w:r>
      <w:r>
        <w:instrText xml:space="preserve"> PAGEREF _Toc15507 \h </w:instrText>
      </w:r>
      <w:r>
        <w:fldChar w:fldCharType="separate"/>
      </w:r>
      <w:r>
        <w:t>- 38 -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_Toc30861 </w:instrText>
      </w:r>
      <w:r>
        <w:rPr>
          <w:bCs/>
          <w:szCs w:val="28"/>
          <w:lang w:val="zh-CN"/>
        </w:rPr>
        <w:fldChar w:fldCharType="separate"/>
      </w:r>
      <w:r>
        <w:rPr>
          <w:rFonts w:hint="eastAsia"/>
        </w:rPr>
        <w:t>法定代表人委托书</w:t>
      </w:r>
      <w:r>
        <w:tab/>
      </w:r>
      <w:r>
        <w:fldChar w:fldCharType="begin"/>
      </w:r>
      <w:r>
        <w:instrText xml:space="preserve"> PAGEREF _Toc30861 \h </w:instrText>
      </w:r>
      <w:r>
        <w:fldChar w:fldCharType="separate"/>
      </w:r>
      <w:r>
        <w:t>- 39 -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_Toc10253 </w:instrText>
      </w:r>
      <w:r>
        <w:rPr>
          <w:bCs/>
          <w:szCs w:val="28"/>
          <w:lang w:val="zh-CN"/>
        </w:rPr>
        <w:fldChar w:fldCharType="separate"/>
      </w:r>
      <w:r>
        <w:rPr>
          <w:rFonts w:hint="eastAsia" w:hAnsi="宋体"/>
          <w:bCs/>
          <w:szCs w:val="28"/>
        </w:rPr>
        <w:t>中小企业声明函（货物）</w:t>
      </w:r>
      <w:r>
        <w:tab/>
      </w:r>
      <w:r>
        <w:fldChar w:fldCharType="begin"/>
      </w:r>
      <w:r>
        <w:instrText xml:space="preserve"> PAGEREF _Toc10253 \h </w:instrText>
      </w:r>
      <w:r>
        <w:fldChar w:fldCharType="separate"/>
      </w:r>
      <w:r>
        <w:t>- 40 -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_Toc25457 </w:instrText>
      </w:r>
      <w:r>
        <w:rPr>
          <w:bCs/>
          <w:szCs w:val="28"/>
          <w:lang w:val="zh-CN"/>
        </w:rPr>
        <w:fldChar w:fldCharType="separate"/>
      </w:r>
      <w:r>
        <w:rPr>
          <w:rFonts w:hint="eastAsia"/>
        </w:rPr>
        <w:t>残疾人福利性单位声明函</w:t>
      </w:r>
      <w:r>
        <w:tab/>
      </w:r>
      <w:r>
        <w:fldChar w:fldCharType="begin"/>
      </w:r>
      <w:r>
        <w:instrText xml:space="preserve"> PAGEREF _Toc25457 \h </w:instrText>
      </w:r>
      <w:r>
        <w:fldChar w:fldCharType="separate"/>
      </w:r>
      <w:r>
        <w:t>- 41 -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_Toc14095 </w:instrText>
      </w:r>
      <w:r>
        <w:rPr>
          <w:bCs/>
          <w:szCs w:val="28"/>
          <w:lang w:val="zh-CN"/>
        </w:rPr>
        <w:fldChar w:fldCharType="separate"/>
      </w:r>
      <w:r>
        <w:rPr>
          <w:rFonts w:hint="eastAsia"/>
        </w:rPr>
        <w:t>产品适用政府采购政策情况表</w:t>
      </w:r>
      <w:r>
        <w:tab/>
      </w:r>
      <w:r>
        <w:fldChar w:fldCharType="begin"/>
      </w:r>
      <w:r>
        <w:instrText xml:space="preserve"> PAGEREF _Toc14095 \h </w:instrText>
      </w:r>
      <w:r>
        <w:fldChar w:fldCharType="separate"/>
      </w:r>
      <w:r>
        <w:t>- 42 -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_Toc16518 </w:instrText>
      </w:r>
      <w:r>
        <w:rPr>
          <w:bCs/>
          <w:szCs w:val="28"/>
          <w:lang w:val="zh-CN"/>
        </w:rPr>
        <w:fldChar w:fldCharType="separate"/>
      </w:r>
      <w:r>
        <w:rPr>
          <w:rFonts w:hint="eastAsia" w:ascii="宋体" w:hAnsi="宋体"/>
          <w:szCs w:val="28"/>
        </w:rPr>
        <w:t>前三年，在经营活动中没有重大违法记录的声明</w:t>
      </w:r>
      <w:r>
        <w:tab/>
      </w:r>
      <w:r>
        <w:fldChar w:fldCharType="begin"/>
      </w:r>
      <w:r>
        <w:instrText xml:space="preserve"> PAGEREF _Toc16518 \h </w:instrText>
      </w:r>
      <w:r>
        <w:fldChar w:fldCharType="separate"/>
      </w:r>
      <w:r>
        <w:t>- 43 -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_Toc5656 </w:instrText>
      </w:r>
      <w:r>
        <w:rPr>
          <w:bCs/>
          <w:szCs w:val="28"/>
          <w:lang w:val="zh-CN"/>
        </w:rPr>
        <w:fldChar w:fldCharType="separate"/>
      </w:r>
      <w:r>
        <w:rPr>
          <w:rFonts w:hint="eastAsia" w:ascii="宋体" w:hAnsi="宋体"/>
          <w:szCs w:val="28"/>
        </w:rPr>
        <w:t>承德市政府采购供应商诚信承诺书</w:t>
      </w:r>
      <w:r>
        <w:tab/>
      </w:r>
      <w:r>
        <w:fldChar w:fldCharType="begin"/>
      </w:r>
      <w:r>
        <w:instrText xml:space="preserve"> PAGEREF _Toc5656 \h </w:instrText>
      </w:r>
      <w:r>
        <w:fldChar w:fldCharType="separate"/>
      </w:r>
      <w:r>
        <w:t>- 44 -</w:t>
      </w:r>
      <w:r>
        <w:fldChar w:fldCharType="end"/>
      </w:r>
      <w:r>
        <w:rPr>
          <w:bCs/>
          <w:color w:val="auto"/>
          <w:szCs w:val="28"/>
          <w:lang w:val="zh-CN"/>
        </w:rPr>
        <w:fldChar w:fldCharType="end"/>
      </w:r>
    </w:p>
    <w:p>
      <w:pPr>
        <w:pStyle w:val="17"/>
        <w:tabs>
          <w:tab w:val="right" w:leader="dot" w:pos="8732"/>
          <w:tab w:val="clear" w:pos="8296"/>
        </w:tabs>
      </w:pPr>
      <w:r>
        <w:rPr>
          <w:bCs/>
          <w:color w:val="auto"/>
          <w:szCs w:val="28"/>
          <w:lang w:val="zh-CN"/>
        </w:rPr>
        <w:fldChar w:fldCharType="begin"/>
      </w:r>
      <w:r>
        <w:rPr>
          <w:bCs/>
          <w:szCs w:val="28"/>
          <w:lang w:val="zh-CN"/>
        </w:rPr>
        <w:instrText xml:space="preserve"> HYPERLINK \l _Toc686 </w:instrText>
      </w:r>
      <w:r>
        <w:rPr>
          <w:bCs/>
          <w:szCs w:val="28"/>
          <w:lang w:val="zh-CN"/>
        </w:rPr>
        <w:fldChar w:fldCharType="separate"/>
      </w:r>
      <w:r>
        <w:rPr>
          <w:rFonts w:hint="eastAsia"/>
          <w:bCs/>
          <w:szCs w:val="30"/>
        </w:rPr>
        <w:t>承诺函</w:t>
      </w:r>
      <w:r>
        <w:tab/>
      </w:r>
      <w:r>
        <w:fldChar w:fldCharType="begin"/>
      </w:r>
      <w:r>
        <w:instrText xml:space="preserve"> PAGEREF _Toc686 \h </w:instrText>
      </w:r>
      <w:r>
        <w:fldChar w:fldCharType="separate"/>
      </w:r>
      <w:r>
        <w:t>- 45 -</w:t>
      </w:r>
      <w:r>
        <w:fldChar w:fldCharType="end"/>
      </w:r>
      <w:r>
        <w:rPr>
          <w:bCs/>
          <w:color w:val="auto"/>
          <w:szCs w:val="28"/>
          <w:lang w:val="zh-CN"/>
        </w:rPr>
        <w:fldChar w:fldCharType="end"/>
      </w:r>
    </w:p>
    <w:p>
      <w:pPr>
        <w:spacing w:line="600" w:lineRule="exact"/>
        <w:jc w:val="left"/>
        <w:rPr>
          <w:b/>
          <w:bCs/>
          <w:color w:val="auto"/>
          <w:szCs w:val="28"/>
          <w:lang w:val="zh-CN"/>
        </w:rPr>
      </w:pPr>
      <w:r>
        <w:rPr>
          <w:bCs/>
          <w:color w:val="auto"/>
          <w:szCs w:val="28"/>
          <w:lang w:val="zh-CN"/>
        </w:rPr>
        <w:fldChar w:fldCharType="end"/>
      </w:r>
    </w:p>
    <w:p>
      <w:pPr>
        <w:pStyle w:val="58"/>
        <w:rPr>
          <w:color w:val="auto"/>
          <w:lang w:val="zh-CN"/>
        </w:rPr>
      </w:pPr>
    </w:p>
    <w:p>
      <w:pPr>
        <w:pStyle w:val="58"/>
        <w:rPr>
          <w:color w:val="auto"/>
        </w:rPr>
      </w:pPr>
    </w:p>
    <w:p>
      <w:pPr>
        <w:jc w:val="center"/>
        <w:rPr>
          <w:rFonts w:ascii="宋体"/>
          <w:b/>
          <w:color w:val="auto"/>
          <w:sz w:val="36"/>
          <w:szCs w:val="36"/>
        </w:rPr>
      </w:pPr>
      <w:bookmarkStart w:id="0" w:name="_Toc8788127"/>
      <w:bookmarkStart w:id="1" w:name="_Toc8787511"/>
      <w:bookmarkStart w:id="2" w:name="_Toc8787510"/>
      <w:bookmarkStart w:id="3" w:name="_Toc8788128"/>
    </w:p>
    <w:p>
      <w:pPr>
        <w:pStyle w:val="58"/>
        <w:rPr>
          <w:color w:val="auto"/>
        </w:rPr>
      </w:pPr>
    </w:p>
    <w:p>
      <w:pPr>
        <w:pStyle w:val="58"/>
        <w:rPr>
          <w:color w:val="auto"/>
        </w:rPr>
        <w:sectPr>
          <w:footerReference r:id="rId6" w:type="first"/>
          <w:footerReference r:id="rId5" w:type="default"/>
          <w:pgSz w:w="11906" w:h="16838"/>
          <w:pgMar w:top="1440" w:right="1587" w:bottom="1440" w:left="1587" w:header="851" w:footer="992" w:gutter="0"/>
          <w:cols w:space="720" w:num="1"/>
          <w:titlePg/>
          <w:docGrid w:type="lines" w:linePitch="312" w:charSpace="0"/>
        </w:sectPr>
      </w:pPr>
    </w:p>
    <w:bookmarkEnd w:id="0"/>
    <w:bookmarkEnd w:id="1"/>
    <w:bookmarkEnd w:id="2"/>
    <w:bookmarkEnd w:id="3"/>
    <w:p>
      <w:pPr>
        <w:jc w:val="center"/>
        <w:outlineLvl w:val="0"/>
        <w:rPr>
          <w:rFonts w:ascii="宋体"/>
          <w:b/>
          <w:color w:val="auto"/>
          <w:sz w:val="36"/>
          <w:szCs w:val="36"/>
        </w:rPr>
      </w:pPr>
      <w:bookmarkStart w:id="4" w:name="第一部分"/>
      <w:bookmarkEnd w:id="4"/>
      <w:bookmarkStart w:id="5" w:name="_Toc8556"/>
      <w:bookmarkStart w:id="6" w:name="_Toc28506"/>
      <w:r>
        <w:rPr>
          <w:rFonts w:hint="eastAsia" w:ascii="宋体" w:hAnsi="宋体"/>
          <w:b/>
          <w:color w:val="auto"/>
          <w:sz w:val="36"/>
          <w:szCs w:val="36"/>
        </w:rPr>
        <w:t>第一部分</w:t>
      </w:r>
      <w:r>
        <w:rPr>
          <w:rFonts w:ascii="宋体" w:hAnsi="宋体"/>
          <w:b/>
          <w:color w:val="auto"/>
          <w:sz w:val="36"/>
          <w:szCs w:val="36"/>
        </w:rPr>
        <w:t xml:space="preserve"> </w:t>
      </w:r>
      <w:r>
        <w:rPr>
          <w:rFonts w:hint="eastAsia" w:ascii="宋体" w:hAnsi="宋体"/>
          <w:b/>
          <w:color w:val="auto"/>
          <w:sz w:val="36"/>
          <w:szCs w:val="36"/>
        </w:rPr>
        <w:t>邀请函</w:t>
      </w:r>
      <w:bookmarkEnd w:id="5"/>
      <w:bookmarkEnd w:id="6"/>
    </w:p>
    <w:p>
      <w:pPr>
        <w:ind w:firstLine="420" w:firstLineChars="200"/>
        <w:rPr>
          <w:rFonts w:ascii="宋体"/>
          <w:color w:val="auto"/>
          <w:szCs w:val="21"/>
        </w:rPr>
      </w:pPr>
      <w:r>
        <w:rPr>
          <w:rFonts w:hint="eastAsia" w:ascii="宋体" w:hAnsi="宋体"/>
          <w:color w:val="auto"/>
          <w:szCs w:val="21"/>
        </w:rPr>
        <w:t>受</w:t>
      </w:r>
      <w:r>
        <w:rPr>
          <w:rFonts w:hint="eastAsia" w:ascii="宋体" w:hAnsi="宋体"/>
          <w:color w:val="auto"/>
          <w:szCs w:val="21"/>
          <w:lang w:val="en-US" w:eastAsia="zh-CN"/>
        </w:rPr>
        <w:t>承德应用技术职业学院筹建办公室</w:t>
      </w:r>
      <w:r>
        <w:rPr>
          <w:rFonts w:hint="eastAsia" w:ascii="宋体" w:hAnsi="宋体"/>
          <w:color w:val="auto"/>
          <w:szCs w:val="21"/>
        </w:rPr>
        <w:t>委托，承德市政府采购中心拟对本项目</w:t>
      </w:r>
      <w:r>
        <w:rPr>
          <w:rFonts w:hint="eastAsia"/>
          <w:color w:val="auto"/>
          <w:szCs w:val="21"/>
        </w:rPr>
        <w:t>进行</w:t>
      </w:r>
      <w:r>
        <w:rPr>
          <w:rFonts w:hint="eastAsia" w:ascii="宋体" w:hAnsi="宋体"/>
          <w:color w:val="auto"/>
          <w:szCs w:val="21"/>
        </w:rPr>
        <w:t>采购，欢迎合格供应商投标。</w:t>
      </w:r>
    </w:p>
    <w:p>
      <w:pPr>
        <w:rPr>
          <w:rFonts w:hint="eastAsia" w:ascii="宋体" w:hAnsi="宋体"/>
          <w:color w:val="auto"/>
          <w:szCs w:val="21"/>
        </w:rPr>
      </w:pPr>
      <w:r>
        <w:rPr>
          <w:rFonts w:hint="eastAsia" w:ascii="宋体" w:hAnsi="宋体"/>
          <w:color w:val="auto"/>
          <w:szCs w:val="21"/>
        </w:rPr>
        <w:t>采购名称：承德应用技术职业学院筹建办公室新媒体营销实训基地项目</w:t>
      </w:r>
      <w:r>
        <w:rPr>
          <w:rFonts w:hint="eastAsia" w:ascii="宋体" w:hAnsi="宋体"/>
          <w:color w:val="auto"/>
          <w:szCs w:val="21"/>
          <w:lang w:eastAsia="zh-CN"/>
        </w:rPr>
        <w:t>竞争性谈判（</w:t>
      </w:r>
      <w:r>
        <w:rPr>
          <w:rFonts w:hint="eastAsia" w:ascii="宋体" w:hAnsi="宋体"/>
          <w:color w:val="auto"/>
          <w:szCs w:val="21"/>
        </w:rPr>
        <w:t>A包</w:t>
      </w:r>
      <w:r>
        <w:rPr>
          <w:rFonts w:hint="eastAsia" w:ascii="宋体" w:hAnsi="宋体"/>
          <w:color w:val="auto"/>
          <w:szCs w:val="21"/>
          <w:lang w:eastAsia="zh-CN"/>
        </w:rPr>
        <w:t>）二次</w:t>
      </w:r>
    </w:p>
    <w:p>
      <w:pPr>
        <w:rPr>
          <w:rFonts w:ascii="宋体"/>
          <w:color w:val="auto"/>
          <w:szCs w:val="21"/>
        </w:rPr>
      </w:pPr>
      <w:r>
        <w:rPr>
          <w:rFonts w:hint="eastAsia" w:ascii="宋体" w:hAnsi="宋体"/>
          <w:color w:val="auto"/>
          <w:szCs w:val="21"/>
        </w:rPr>
        <w:t>项目编号：</w:t>
      </w:r>
      <w:r>
        <w:rPr>
          <w:rFonts w:hint="eastAsia" w:ascii="宋体" w:hAnsi="宋体"/>
          <w:color w:val="auto"/>
          <w:szCs w:val="21"/>
          <w:lang w:val="en-US" w:eastAsia="zh-CN"/>
        </w:rPr>
        <w:t>ZC130800202300177001001</w:t>
      </w:r>
    </w:p>
    <w:tbl>
      <w:tblPr>
        <w:tblStyle w:val="39"/>
        <w:tblW w:w="8625"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887"/>
        <w:gridCol w:w="30"/>
        <w:gridCol w:w="183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234" w:type="dxa"/>
            <w:vAlign w:val="center"/>
          </w:tcPr>
          <w:p>
            <w:pPr>
              <w:spacing w:line="200" w:lineRule="atLeast"/>
              <w:jc w:val="center"/>
              <w:rPr>
                <w:b/>
                <w:bCs/>
                <w:color w:val="auto"/>
                <w:szCs w:val="21"/>
              </w:rPr>
            </w:pPr>
            <w:r>
              <w:rPr>
                <w:rFonts w:hint="eastAsia" w:ascii="宋体" w:hAnsi="宋体"/>
                <w:b/>
                <w:bCs/>
                <w:color w:val="auto"/>
              </w:rPr>
              <w:t>采购人名称</w:t>
            </w:r>
          </w:p>
        </w:tc>
        <w:tc>
          <w:tcPr>
            <w:tcW w:w="6391" w:type="dxa"/>
            <w:gridSpan w:val="4"/>
            <w:vAlign w:val="top"/>
          </w:tcPr>
          <w:p>
            <w:pPr>
              <w:spacing w:line="200" w:lineRule="atLeast"/>
              <w:jc w:val="left"/>
              <w:rPr>
                <w:rFonts w:ascii="宋体"/>
                <w:color w:val="auto"/>
              </w:rPr>
            </w:pPr>
            <w:r>
              <w:rPr>
                <w:rFonts w:hint="eastAsia" w:ascii="宋体" w:hAnsi="宋体"/>
                <w:color w:val="auto"/>
                <w:szCs w:val="21"/>
                <w:lang w:val="en-US" w:eastAsia="zh-CN"/>
              </w:rPr>
              <w:t>承德应用技术职业学院筹建办公室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4" w:type="dxa"/>
            <w:vAlign w:val="center"/>
          </w:tcPr>
          <w:p>
            <w:pPr>
              <w:spacing w:line="200" w:lineRule="atLeast"/>
              <w:jc w:val="center"/>
              <w:rPr>
                <w:rFonts w:ascii="宋体"/>
                <w:b/>
                <w:bCs/>
                <w:color w:val="auto"/>
              </w:rPr>
            </w:pPr>
            <w:r>
              <w:rPr>
                <w:rFonts w:hint="eastAsia" w:ascii="宋体" w:hAnsi="宋体"/>
                <w:b/>
                <w:bCs/>
                <w:color w:val="auto"/>
              </w:rPr>
              <w:t>采购人地址</w:t>
            </w:r>
          </w:p>
        </w:tc>
        <w:tc>
          <w:tcPr>
            <w:tcW w:w="6391" w:type="dxa"/>
            <w:gridSpan w:val="4"/>
            <w:vAlign w:val="center"/>
          </w:tcPr>
          <w:p>
            <w:pPr>
              <w:spacing w:line="200" w:lineRule="atLeast"/>
              <w:jc w:val="left"/>
              <w:rPr>
                <w:rFonts w:ascii="宋体"/>
                <w:color w:val="auto"/>
              </w:rPr>
            </w:pPr>
            <w:r>
              <w:rPr>
                <w:rFonts w:ascii="宋体"/>
                <w:color w:val="auto"/>
              </w:rPr>
              <w:t>承德市高新技术开发区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34" w:type="dxa"/>
            <w:vAlign w:val="center"/>
          </w:tcPr>
          <w:p>
            <w:pPr>
              <w:spacing w:line="200" w:lineRule="atLeast"/>
              <w:jc w:val="center"/>
              <w:rPr>
                <w:rFonts w:ascii="宋体"/>
                <w:b/>
                <w:bCs/>
                <w:color w:val="auto"/>
                <w:szCs w:val="21"/>
              </w:rPr>
            </w:pPr>
            <w:r>
              <w:rPr>
                <w:rFonts w:hint="eastAsia" w:ascii="宋体" w:hAnsi="宋体"/>
                <w:b/>
                <w:bCs/>
                <w:color w:val="auto"/>
                <w:szCs w:val="21"/>
              </w:rPr>
              <w:t>采购单位联系人</w:t>
            </w:r>
          </w:p>
        </w:tc>
        <w:tc>
          <w:tcPr>
            <w:tcW w:w="2917" w:type="dxa"/>
            <w:gridSpan w:val="2"/>
            <w:vAlign w:val="center"/>
          </w:tcPr>
          <w:p>
            <w:pPr>
              <w:spacing w:line="200" w:lineRule="atLeast"/>
              <w:rPr>
                <w:rFonts w:hint="eastAsia" w:ascii="宋体" w:eastAsia="宋体"/>
                <w:color w:val="auto"/>
                <w:szCs w:val="21"/>
                <w:lang w:eastAsia="zh-CN"/>
              </w:rPr>
            </w:pPr>
            <w:r>
              <w:rPr>
                <w:rFonts w:hint="eastAsia" w:ascii="宋体"/>
                <w:color w:val="auto"/>
                <w:szCs w:val="21"/>
                <w:lang w:eastAsia="zh-CN"/>
              </w:rPr>
              <w:t>冯静</w:t>
            </w:r>
          </w:p>
        </w:tc>
        <w:tc>
          <w:tcPr>
            <w:tcW w:w="1831" w:type="dxa"/>
            <w:vAlign w:val="center"/>
          </w:tcPr>
          <w:p>
            <w:pPr>
              <w:spacing w:line="200" w:lineRule="atLeast"/>
              <w:jc w:val="center"/>
              <w:rPr>
                <w:rFonts w:ascii="宋体"/>
                <w:b/>
                <w:bCs/>
                <w:color w:val="auto"/>
                <w:szCs w:val="21"/>
              </w:rPr>
            </w:pPr>
            <w:r>
              <w:rPr>
                <w:rFonts w:hint="eastAsia" w:ascii="宋体" w:hAnsi="宋体"/>
                <w:b/>
                <w:bCs/>
                <w:color w:val="auto"/>
                <w:szCs w:val="21"/>
              </w:rPr>
              <w:t>联系方式</w:t>
            </w:r>
          </w:p>
          <w:p>
            <w:pPr>
              <w:spacing w:line="200" w:lineRule="atLeast"/>
              <w:rPr>
                <w:rFonts w:ascii="宋体"/>
                <w:color w:val="auto"/>
                <w:szCs w:val="21"/>
              </w:rPr>
            </w:pPr>
            <w:r>
              <w:rPr>
                <w:rFonts w:hint="eastAsia" w:ascii="宋体" w:hAnsi="宋体"/>
                <w:b/>
                <w:bCs/>
                <w:color w:val="auto"/>
                <w:szCs w:val="21"/>
              </w:rPr>
              <w:t>（质疑受理电话）</w:t>
            </w:r>
          </w:p>
        </w:tc>
        <w:tc>
          <w:tcPr>
            <w:tcW w:w="1643" w:type="dxa"/>
            <w:vAlign w:val="center"/>
          </w:tcPr>
          <w:p>
            <w:pPr>
              <w:spacing w:line="200" w:lineRule="atLeast"/>
              <w:rPr>
                <w:rFonts w:hint="default" w:ascii="宋体" w:eastAsia="宋体"/>
                <w:color w:val="auto"/>
                <w:szCs w:val="21"/>
                <w:lang w:val="en-US" w:eastAsia="zh-CN"/>
              </w:rPr>
            </w:pPr>
            <w:r>
              <w:rPr>
                <w:rFonts w:hint="eastAsia" w:ascii="宋体"/>
                <w:szCs w:val="21"/>
              </w:rPr>
              <w:t>0314-</w:t>
            </w:r>
            <w:r>
              <w:rPr>
                <w:rFonts w:hint="eastAsia" w:ascii="宋体"/>
                <w:szCs w:val="21"/>
                <w:lang w:val="en-US" w:eastAsia="zh-CN"/>
              </w:rPr>
              <w:t>2512681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34" w:type="dxa"/>
            <w:vAlign w:val="center"/>
          </w:tcPr>
          <w:p>
            <w:pPr>
              <w:spacing w:line="200" w:lineRule="atLeast"/>
              <w:jc w:val="center"/>
              <w:rPr>
                <w:rFonts w:ascii="宋体"/>
                <w:b/>
                <w:bCs/>
                <w:color w:val="auto"/>
                <w:szCs w:val="21"/>
              </w:rPr>
            </w:pPr>
            <w:r>
              <w:rPr>
                <w:rFonts w:hint="eastAsia" w:ascii="宋体" w:hAnsi="宋体"/>
                <w:b/>
                <w:bCs/>
                <w:color w:val="auto"/>
                <w:szCs w:val="21"/>
              </w:rPr>
              <w:t>采购代理机构全称</w:t>
            </w:r>
          </w:p>
        </w:tc>
        <w:tc>
          <w:tcPr>
            <w:tcW w:w="6391" w:type="dxa"/>
            <w:gridSpan w:val="4"/>
            <w:vAlign w:val="center"/>
          </w:tcPr>
          <w:p>
            <w:pPr>
              <w:spacing w:line="200" w:lineRule="atLeast"/>
              <w:rPr>
                <w:rFonts w:ascii="宋体"/>
                <w:color w:val="auto"/>
                <w:szCs w:val="21"/>
              </w:rPr>
            </w:pPr>
            <w:r>
              <w:rPr>
                <w:rFonts w:hint="eastAsia" w:ascii="宋体" w:hAnsi="宋体"/>
                <w:color w:val="auto"/>
                <w:szCs w:val="21"/>
              </w:rPr>
              <w:t>承德市政府采购中心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34" w:type="dxa"/>
            <w:vAlign w:val="center"/>
          </w:tcPr>
          <w:p>
            <w:pPr>
              <w:spacing w:line="200" w:lineRule="atLeast"/>
              <w:jc w:val="center"/>
              <w:rPr>
                <w:rFonts w:ascii="宋体"/>
                <w:b/>
                <w:bCs/>
                <w:color w:val="auto"/>
                <w:szCs w:val="21"/>
              </w:rPr>
            </w:pPr>
            <w:r>
              <w:rPr>
                <w:rFonts w:hint="eastAsia" w:ascii="宋体" w:hAnsi="宋体"/>
                <w:b/>
                <w:bCs/>
                <w:color w:val="auto"/>
                <w:szCs w:val="21"/>
              </w:rPr>
              <w:t>采购代理机构地址</w:t>
            </w:r>
          </w:p>
        </w:tc>
        <w:tc>
          <w:tcPr>
            <w:tcW w:w="6391" w:type="dxa"/>
            <w:gridSpan w:val="4"/>
            <w:vAlign w:val="center"/>
          </w:tcPr>
          <w:p>
            <w:pPr>
              <w:spacing w:line="200" w:lineRule="atLeast"/>
              <w:rPr>
                <w:rFonts w:ascii="宋体"/>
                <w:color w:val="auto"/>
                <w:szCs w:val="21"/>
              </w:rPr>
            </w:pPr>
            <w:r>
              <w:rPr>
                <w:rFonts w:hint="eastAsia" w:ascii="宋体" w:hAnsi="宋体"/>
                <w:color w:val="auto"/>
                <w:szCs w:val="21"/>
              </w:rPr>
              <w:t>承德市双桥区武烈路</w:t>
            </w:r>
            <w:r>
              <w:rPr>
                <w:rFonts w:ascii="宋体" w:hAnsi="宋体"/>
                <w:color w:val="auto"/>
                <w:szCs w:val="21"/>
              </w:rPr>
              <w:t>153-1</w:t>
            </w:r>
            <w:r>
              <w:rPr>
                <w:rFonts w:hint="eastAsia" w:ascii="宋体" w:hAnsi="宋体"/>
                <w:color w:val="auto"/>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34" w:type="dxa"/>
            <w:vAlign w:val="center"/>
          </w:tcPr>
          <w:p>
            <w:pPr>
              <w:spacing w:line="200" w:lineRule="atLeast"/>
              <w:jc w:val="center"/>
              <w:rPr>
                <w:rFonts w:ascii="宋体"/>
                <w:b/>
                <w:bCs/>
                <w:color w:val="auto"/>
                <w:szCs w:val="21"/>
              </w:rPr>
            </w:pPr>
            <w:r>
              <w:rPr>
                <w:rFonts w:hint="eastAsia" w:ascii="宋体" w:hAnsi="宋体"/>
                <w:b/>
                <w:bCs/>
                <w:color w:val="auto"/>
                <w:szCs w:val="21"/>
              </w:rPr>
              <w:t>采购代理机构联系人</w:t>
            </w:r>
          </w:p>
        </w:tc>
        <w:tc>
          <w:tcPr>
            <w:tcW w:w="2887" w:type="dxa"/>
            <w:vAlign w:val="center"/>
          </w:tcPr>
          <w:p>
            <w:pPr>
              <w:spacing w:line="200" w:lineRule="atLeast"/>
              <w:rPr>
                <w:rFonts w:hint="eastAsia" w:ascii="宋体" w:eastAsia="宋体"/>
                <w:color w:val="auto"/>
                <w:szCs w:val="21"/>
                <w:lang w:eastAsia="zh-CN"/>
              </w:rPr>
            </w:pPr>
            <w:r>
              <w:rPr>
                <w:rFonts w:hint="eastAsia" w:ascii="宋体" w:hAnsi="宋体"/>
                <w:color w:val="auto"/>
                <w:szCs w:val="21"/>
                <w:lang w:val="en-US" w:eastAsia="zh-CN"/>
              </w:rPr>
              <w:t>任进宝</w:t>
            </w:r>
          </w:p>
        </w:tc>
        <w:tc>
          <w:tcPr>
            <w:tcW w:w="1861" w:type="dxa"/>
            <w:gridSpan w:val="2"/>
            <w:vAlign w:val="center"/>
          </w:tcPr>
          <w:p>
            <w:pPr>
              <w:spacing w:line="200" w:lineRule="atLeast"/>
              <w:rPr>
                <w:rFonts w:ascii="宋体"/>
                <w:b/>
                <w:bCs/>
                <w:color w:val="auto"/>
                <w:szCs w:val="21"/>
              </w:rPr>
            </w:pPr>
            <w:r>
              <w:rPr>
                <w:rFonts w:hint="eastAsia" w:ascii="宋体" w:hAnsi="宋体"/>
                <w:b/>
                <w:bCs/>
                <w:color w:val="auto"/>
                <w:szCs w:val="21"/>
              </w:rPr>
              <w:t>联系方式</w:t>
            </w:r>
          </w:p>
        </w:tc>
        <w:tc>
          <w:tcPr>
            <w:tcW w:w="1643" w:type="dxa"/>
            <w:vAlign w:val="center"/>
          </w:tcPr>
          <w:p>
            <w:pPr>
              <w:spacing w:line="200" w:lineRule="atLeast"/>
              <w:rPr>
                <w:rFonts w:hint="default" w:ascii="宋体" w:eastAsia="宋体"/>
                <w:color w:val="auto"/>
                <w:szCs w:val="21"/>
                <w:lang w:val="en-US" w:eastAsia="zh-CN"/>
              </w:rPr>
            </w:pPr>
            <w:r>
              <w:rPr>
                <w:rFonts w:hint="eastAsia" w:ascii="宋体" w:hAnsi="宋体"/>
                <w:color w:val="auto"/>
                <w:szCs w:val="21"/>
                <w:lang w:val="en-US" w:eastAsia="zh-CN"/>
              </w:rPr>
              <w:t>0314-2097138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34" w:type="dxa"/>
            <w:vAlign w:val="center"/>
          </w:tcPr>
          <w:p>
            <w:pPr>
              <w:spacing w:line="200" w:lineRule="atLeast"/>
              <w:jc w:val="center"/>
              <w:rPr>
                <w:rFonts w:ascii="宋体"/>
                <w:b/>
                <w:bCs/>
                <w:color w:val="auto"/>
                <w:szCs w:val="21"/>
              </w:rPr>
            </w:pPr>
            <w:r>
              <w:rPr>
                <w:rFonts w:hint="eastAsia" w:ascii="宋体" w:hAnsi="宋体"/>
                <w:b/>
                <w:bCs/>
                <w:color w:val="auto"/>
                <w:szCs w:val="21"/>
              </w:rPr>
              <w:t>采购方式</w:t>
            </w:r>
          </w:p>
        </w:tc>
        <w:tc>
          <w:tcPr>
            <w:tcW w:w="2887" w:type="dxa"/>
            <w:vAlign w:val="center"/>
          </w:tcPr>
          <w:p>
            <w:pPr>
              <w:spacing w:line="200" w:lineRule="atLeast"/>
              <w:rPr>
                <w:rFonts w:ascii="宋体"/>
                <w:color w:val="auto"/>
                <w:szCs w:val="21"/>
              </w:rPr>
            </w:pPr>
            <w:r>
              <w:rPr>
                <w:rFonts w:hint="eastAsia" w:ascii="宋体" w:hAnsi="宋体"/>
                <w:color w:val="auto"/>
                <w:szCs w:val="21"/>
              </w:rPr>
              <w:t>竞争性谈判</w:t>
            </w:r>
          </w:p>
        </w:tc>
        <w:tc>
          <w:tcPr>
            <w:tcW w:w="1861" w:type="dxa"/>
            <w:gridSpan w:val="2"/>
            <w:vAlign w:val="center"/>
          </w:tcPr>
          <w:p>
            <w:pPr>
              <w:spacing w:line="200" w:lineRule="atLeast"/>
              <w:rPr>
                <w:rFonts w:ascii="宋体"/>
                <w:b/>
                <w:bCs/>
                <w:color w:val="auto"/>
                <w:szCs w:val="21"/>
              </w:rPr>
            </w:pPr>
            <w:r>
              <w:rPr>
                <w:rFonts w:hint="eastAsia" w:ascii="宋体" w:hAnsi="宋体"/>
                <w:b/>
                <w:bCs/>
                <w:color w:val="auto"/>
              </w:rPr>
              <w:t>评标方法</w:t>
            </w:r>
          </w:p>
        </w:tc>
        <w:tc>
          <w:tcPr>
            <w:tcW w:w="1643" w:type="dxa"/>
            <w:vAlign w:val="center"/>
          </w:tcPr>
          <w:p>
            <w:pPr>
              <w:spacing w:line="200" w:lineRule="atLeast"/>
              <w:rPr>
                <w:rFonts w:ascii="宋体"/>
                <w:color w:val="auto"/>
                <w:szCs w:val="21"/>
              </w:rPr>
            </w:pPr>
            <w:r>
              <w:rPr>
                <w:rFonts w:hint="eastAsia" w:ascii="宋体" w:hAnsi="宋体"/>
                <w:color w:val="auto"/>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234" w:type="dxa"/>
            <w:vAlign w:val="center"/>
          </w:tcPr>
          <w:p>
            <w:pPr>
              <w:spacing w:line="200" w:lineRule="atLeast"/>
              <w:jc w:val="center"/>
              <w:rPr>
                <w:rFonts w:ascii="宋体"/>
                <w:b/>
                <w:bCs/>
                <w:color w:val="auto"/>
                <w:szCs w:val="21"/>
              </w:rPr>
            </w:pPr>
            <w:r>
              <w:rPr>
                <w:rFonts w:hint="eastAsia" w:ascii="宋体" w:hAnsi="宋体"/>
                <w:b/>
                <w:bCs/>
                <w:color w:val="auto"/>
                <w:szCs w:val="21"/>
              </w:rPr>
              <w:t>采购内容</w:t>
            </w:r>
          </w:p>
        </w:tc>
        <w:tc>
          <w:tcPr>
            <w:tcW w:w="2887" w:type="dxa"/>
            <w:vAlign w:val="center"/>
          </w:tcPr>
          <w:p>
            <w:pPr>
              <w:spacing w:line="200" w:lineRule="atLeast"/>
              <w:rPr>
                <w:rFonts w:ascii="宋体"/>
                <w:color w:val="auto"/>
                <w:szCs w:val="21"/>
              </w:rPr>
            </w:pPr>
            <w:r>
              <w:rPr>
                <w:rFonts w:hint="eastAsia" w:ascii="宋体" w:hAnsi="宋体"/>
                <w:color w:val="auto"/>
                <w:szCs w:val="21"/>
              </w:rPr>
              <w:t>详见谈判文件</w:t>
            </w:r>
          </w:p>
        </w:tc>
        <w:tc>
          <w:tcPr>
            <w:tcW w:w="1861" w:type="dxa"/>
            <w:gridSpan w:val="2"/>
            <w:vAlign w:val="center"/>
          </w:tcPr>
          <w:p>
            <w:pPr>
              <w:spacing w:line="200" w:lineRule="atLeast"/>
              <w:rPr>
                <w:rFonts w:ascii="宋体"/>
                <w:b/>
                <w:bCs/>
                <w:color w:val="auto"/>
                <w:szCs w:val="21"/>
              </w:rPr>
            </w:pPr>
            <w:r>
              <w:rPr>
                <w:rFonts w:hint="eastAsia" w:ascii="宋体" w:hAnsi="宋体"/>
                <w:b/>
                <w:bCs/>
                <w:color w:val="auto"/>
                <w:szCs w:val="21"/>
              </w:rPr>
              <w:t>采购用途</w:t>
            </w:r>
          </w:p>
        </w:tc>
        <w:tc>
          <w:tcPr>
            <w:tcW w:w="1643" w:type="dxa"/>
            <w:vAlign w:val="center"/>
          </w:tcPr>
          <w:p>
            <w:pPr>
              <w:spacing w:line="200" w:lineRule="atLeast"/>
              <w:rPr>
                <w:rFonts w:ascii="宋体"/>
                <w:color w:val="auto"/>
                <w:szCs w:val="21"/>
              </w:rPr>
            </w:pPr>
            <w:r>
              <w:rPr>
                <w:rFonts w:hint="eastAsia" w:ascii="宋体" w:hAnsi="宋体"/>
                <w:color w:val="auto"/>
                <w:szCs w:val="21"/>
              </w:rPr>
              <w:t>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4" w:type="dxa"/>
            <w:vAlign w:val="center"/>
          </w:tcPr>
          <w:p>
            <w:pPr>
              <w:spacing w:line="200" w:lineRule="atLeast"/>
              <w:jc w:val="center"/>
              <w:rPr>
                <w:rFonts w:ascii="宋体"/>
                <w:b/>
                <w:bCs/>
                <w:color w:val="auto"/>
                <w:szCs w:val="21"/>
              </w:rPr>
            </w:pPr>
            <w:r>
              <w:rPr>
                <w:rFonts w:hint="eastAsia" w:ascii="宋体" w:hAnsi="宋体"/>
                <w:b/>
                <w:bCs/>
                <w:color w:val="auto"/>
                <w:szCs w:val="21"/>
              </w:rPr>
              <w:t>项目实施地点</w:t>
            </w:r>
          </w:p>
        </w:tc>
        <w:tc>
          <w:tcPr>
            <w:tcW w:w="2887" w:type="dxa"/>
            <w:vAlign w:val="center"/>
          </w:tcPr>
          <w:p>
            <w:pPr>
              <w:spacing w:line="200" w:lineRule="atLeast"/>
              <w:rPr>
                <w:rFonts w:ascii="宋体"/>
                <w:color w:val="auto"/>
                <w:szCs w:val="21"/>
              </w:rPr>
            </w:pPr>
            <w:r>
              <w:rPr>
                <w:rFonts w:hint="eastAsia" w:ascii="宋体" w:hAnsi="宋体"/>
                <w:color w:val="auto"/>
                <w:szCs w:val="21"/>
              </w:rPr>
              <w:t>采购人指定地点</w:t>
            </w:r>
          </w:p>
        </w:tc>
        <w:tc>
          <w:tcPr>
            <w:tcW w:w="1861" w:type="dxa"/>
            <w:gridSpan w:val="2"/>
            <w:vAlign w:val="center"/>
          </w:tcPr>
          <w:p>
            <w:pPr>
              <w:spacing w:line="200" w:lineRule="atLeast"/>
              <w:rPr>
                <w:rFonts w:ascii="宋体"/>
                <w:color w:val="auto"/>
                <w:szCs w:val="21"/>
              </w:rPr>
            </w:pPr>
            <w:r>
              <w:rPr>
                <w:rFonts w:hint="eastAsia" w:ascii="宋体" w:hAnsi="宋体"/>
                <w:b/>
                <w:bCs/>
                <w:color w:val="auto"/>
                <w:szCs w:val="21"/>
              </w:rPr>
              <w:t>预算金额</w:t>
            </w:r>
          </w:p>
        </w:tc>
        <w:tc>
          <w:tcPr>
            <w:tcW w:w="1643" w:type="dxa"/>
            <w:vAlign w:val="center"/>
          </w:tcPr>
          <w:p>
            <w:pPr>
              <w:spacing w:line="200" w:lineRule="atLeast"/>
              <w:rPr>
                <w:rFonts w:ascii="宋体"/>
                <w:color w:val="auto"/>
                <w:szCs w:val="21"/>
              </w:rPr>
            </w:pPr>
            <w:r>
              <w:rPr>
                <w:rFonts w:hint="eastAsia" w:ascii="宋体" w:hAnsi="宋体"/>
                <w:color w:val="auto"/>
                <w:szCs w:val="21"/>
                <w:lang w:val="en-US" w:eastAsia="zh-CN"/>
              </w:rPr>
              <w:t>355200.00</w:t>
            </w: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234" w:type="dxa"/>
            <w:vAlign w:val="center"/>
          </w:tcPr>
          <w:p>
            <w:pPr>
              <w:jc w:val="center"/>
              <w:rPr>
                <w:rFonts w:ascii="??" w:hAnsi="??"/>
                <w:b/>
                <w:bCs/>
                <w:color w:val="auto"/>
                <w:szCs w:val="21"/>
              </w:rPr>
            </w:pPr>
            <w:r>
              <w:rPr>
                <w:rFonts w:hint="eastAsia" w:ascii="宋体" w:hAnsi="宋体"/>
                <w:b/>
                <w:bCs/>
                <w:color w:val="auto"/>
                <w:szCs w:val="21"/>
              </w:rPr>
              <w:t>供应商资格要求</w:t>
            </w:r>
          </w:p>
        </w:tc>
        <w:tc>
          <w:tcPr>
            <w:tcW w:w="6391" w:type="dxa"/>
            <w:gridSpan w:val="4"/>
            <w:vAlign w:val="center"/>
          </w:tcPr>
          <w:p>
            <w:pPr>
              <w:ind w:left="210" w:hanging="210" w:hangingChars="100"/>
              <w:rPr>
                <w:rFonts w:ascii="??" w:hAnsi="??"/>
                <w:color w:val="auto"/>
                <w:szCs w:val="21"/>
              </w:rPr>
            </w:pPr>
            <w:r>
              <w:rPr>
                <w:rFonts w:hint="eastAsia" w:ascii="??" w:hAnsi="??"/>
                <w:color w:val="auto"/>
                <w:szCs w:val="21"/>
              </w:rPr>
              <w:t>1、投标人需符合《中华人民共和国政府采购法》对供应商的规定；</w:t>
            </w:r>
          </w:p>
          <w:p>
            <w:pPr>
              <w:ind w:left="210" w:hanging="210" w:hangingChars="100"/>
              <w:rPr>
                <w:rFonts w:ascii="??" w:hAnsi="??"/>
                <w:color w:val="auto"/>
                <w:szCs w:val="21"/>
              </w:rPr>
            </w:pPr>
            <w:r>
              <w:rPr>
                <w:rFonts w:hint="eastAsia" w:ascii="??" w:hAnsi="??"/>
                <w:color w:val="auto"/>
                <w:szCs w:val="21"/>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234" w:type="dxa"/>
            <w:vAlign w:val="center"/>
          </w:tcPr>
          <w:p>
            <w:pPr>
              <w:jc w:val="center"/>
              <w:rPr>
                <w:rFonts w:ascii="宋体"/>
                <w:b/>
                <w:bCs/>
                <w:color w:val="auto"/>
                <w:szCs w:val="21"/>
              </w:rPr>
            </w:pPr>
            <w:r>
              <w:rPr>
                <w:rFonts w:hint="eastAsia" w:ascii="宋体" w:hAnsi="宋体"/>
                <w:b/>
                <w:bCs/>
                <w:color w:val="auto"/>
                <w:szCs w:val="21"/>
              </w:rPr>
              <w:t>谈判文件获取方式</w:t>
            </w:r>
          </w:p>
        </w:tc>
        <w:tc>
          <w:tcPr>
            <w:tcW w:w="6391" w:type="dxa"/>
            <w:gridSpan w:val="4"/>
            <w:vAlign w:val="center"/>
          </w:tcPr>
          <w:p>
            <w:pPr>
              <w:numPr>
                <w:ilvl w:val="0"/>
                <w:numId w:val="1"/>
              </w:numPr>
              <w:rPr>
                <w:rFonts w:ascii="宋体" w:hAnsi="宋体" w:cs="宋体"/>
                <w:color w:val="auto"/>
                <w:szCs w:val="21"/>
                <w:highlight w:val="none"/>
              </w:rPr>
            </w:pPr>
            <w:r>
              <w:rPr>
                <w:rFonts w:hint="eastAsia" w:ascii="宋体" w:hAnsi="宋体" w:cs="宋体"/>
                <w:color w:val="auto"/>
                <w:szCs w:val="21"/>
                <w:highlight w:val="none"/>
              </w:rPr>
              <w:t>已在河北省公共资源交易平台市场主体库通过资格确认（注册登记）的供应商可</w:t>
            </w:r>
            <w:r>
              <w:rPr>
                <w:rFonts w:hint="eastAsia" w:ascii="宋体" w:hAnsi="宋体" w:cs="宋体"/>
                <w:color w:val="auto"/>
                <w:szCs w:val="21"/>
                <w:highlight w:val="none"/>
                <w:lang w:eastAsia="zh-CN"/>
              </w:rPr>
              <w:t>直接</w:t>
            </w:r>
            <w:r>
              <w:rPr>
                <w:rFonts w:hint="eastAsia" w:ascii="宋体" w:hAnsi="宋体" w:cs="宋体"/>
                <w:color w:val="auto"/>
                <w:szCs w:val="21"/>
                <w:highlight w:val="none"/>
              </w:rPr>
              <w:t>登录</w:t>
            </w:r>
            <w:r>
              <w:rPr>
                <w:rFonts w:hint="eastAsia" w:ascii="宋体" w:hAnsi="宋体" w:cs="宋体"/>
                <w:color w:val="auto"/>
                <w:szCs w:val="21"/>
                <w:highlight w:val="none"/>
                <w:lang w:eastAsia="zh-CN"/>
              </w:rPr>
              <w:t>（账号密码或数字证书</w:t>
            </w:r>
            <w:r>
              <w:rPr>
                <w:rFonts w:hint="eastAsia" w:ascii="宋体" w:hAnsi="宋体" w:cs="宋体"/>
                <w:color w:val="auto"/>
                <w:szCs w:val="21"/>
                <w:highlight w:val="none"/>
                <w:lang w:val="en-US" w:eastAsia="zh-CN"/>
              </w:rPr>
              <w:t>CA</w:t>
            </w:r>
            <w:r>
              <w:rPr>
                <w:rFonts w:hint="eastAsia" w:ascii="宋体" w:hAnsi="宋体" w:cs="宋体"/>
                <w:color w:val="auto"/>
                <w:szCs w:val="21"/>
                <w:highlight w:val="none"/>
                <w:lang w:eastAsia="zh-CN"/>
              </w:rPr>
              <w:t>）</w:t>
            </w:r>
            <w:r>
              <w:rPr>
                <w:rFonts w:hint="eastAsia" w:ascii="宋体" w:hAnsi="宋体" w:cs="宋体"/>
                <w:color w:val="auto"/>
                <w:szCs w:val="21"/>
                <w:highlight w:val="none"/>
              </w:rPr>
              <w:t>“承德市公共资源交易平台http://xzspj.chengde.gov.cn/ggzy/”下载</w:t>
            </w:r>
            <w:r>
              <w:rPr>
                <w:rFonts w:hint="eastAsia" w:ascii="宋体" w:hAnsi="宋体" w:cs="宋体"/>
                <w:color w:val="auto"/>
                <w:szCs w:val="21"/>
                <w:highlight w:val="none"/>
                <w:lang w:eastAsia="zh-CN"/>
              </w:rPr>
              <w:t>查看招标（采购）</w:t>
            </w:r>
            <w:r>
              <w:rPr>
                <w:rFonts w:hint="eastAsia" w:ascii="宋体" w:hAnsi="宋体" w:cs="宋体"/>
                <w:color w:val="auto"/>
                <w:szCs w:val="21"/>
                <w:highlight w:val="none"/>
              </w:rPr>
              <w:t>文件。</w:t>
            </w:r>
          </w:p>
          <w:p>
            <w:pPr>
              <w:rPr>
                <w:rFonts w:ascii="宋体"/>
                <w:color w:val="auto"/>
                <w:szCs w:val="21"/>
              </w:rPr>
            </w:pPr>
            <w:r>
              <w:rPr>
                <w:rFonts w:hint="eastAsia" w:ascii="宋体" w:hAnsi="宋体" w:cs="宋体"/>
                <w:color w:val="auto"/>
                <w:szCs w:val="21"/>
                <w:highlight w:val="none"/>
              </w:rPr>
              <w:t>2、未经资格确认（注册登记）的供应商首先通过市场主体注册，</w:t>
            </w:r>
            <w:r>
              <w:rPr>
                <w:rFonts w:hint="eastAsia" w:ascii="宋体" w:hAnsi="宋体" w:cs="宋体"/>
                <w:color w:val="auto"/>
                <w:szCs w:val="21"/>
                <w:highlight w:val="none"/>
                <w:lang w:eastAsia="zh-CN"/>
              </w:rPr>
              <w:t>注册网址“</w:t>
            </w:r>
            <w:r>
              <w:rPr>
                <w:rFonts w:hint="eastAsia" w:ascii="宋体" w:hAnsi="宋体" w:cs="宋体"/>
                <w:color w:val="auto"/>
                <w:szCs w:val="21"/>
                <w:highlight w:val="none"/>
              </w:rPr>
              <w:t>河北省公共资源交易平台（www.hebpr.cn）</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234" w:type="dxa"/>
            <w:vAlign w:val="center"/>
          </w:tcPr>
          <w:p>
            <w:pPr>
              <w:jc w:val="center"/>
              <w:rPr>
                <w:rFonts w:hint="eastAsia" w:ascii="宋体" w:hAnsi="宋体"/>
                <w:b/>
                <w:bCs/>
                <w:color w:val="auto"/>
                <w:szCs w:val="21"/>
              </w:rPr>
            </w:pPr>
            <w:r>
              <w:rPr>
                <w:rFonts w:hint="eastAsia" w:ascii="宋体" w:hAnsi="宋体"/>
                <w:b/>
                <w:bCs/>
                <w:color w:val="auto"/>
                <w:szCs w:val="21"/>
                <w:lang w:val="en-US" w:eastAsia="zh-CN"/>
              </w:rPr>
              <w:t>本项目采购标的对应的中小企业划分标准所属行业</w:t>
            </w:r>
          </w:p>
        </w:tc>
        <w:tc>
          <w:tcPr>
            <w:tcW w:w="6391" w:type="dxa"/>
            <w:gridSpan w:val="4"/>
            <w:vAlign w:val="center"/>
          </w:tcPr>
          <w:p>
            <w:pPr>
              <w:rPr>
                <w:rFonts w:hint="eastAsia" w:ascii="宋体" w:hAnsi="宋体" w:cs="宋体"/>
                <w:color w:val="auto"/>
                <w:szCs w:val="21"/>
                <w:highlight w:val="none"/>
              </w:rPr>
            </w:pPr>
            <w:r>
              <w:rPr>
                <w:rFonts w:hint="eastAsia" w:ascii="??" w:hAnsi="??"/>
                <w:b w:val="0"/>
                <w:bCs w:val="0"/>
                <w:color w:val="auto"/>
                <w:szCs w:val="21"/>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4" w:type="dxa"/>
            <w:vAlign w:val="center"/>
          </w:tcPr>
          <w:p>
            <w:pPr>
              <w:spacing w:line="200" w:lineRule="atLeast"/>
              <w:jc w:val="center"/>
              <w:rPr>
                <w:rFonts w:ascii="宋体"/>
                <w:b/>
                <w:bCs/>
                <w:color w:val="auto"/>
              </w:rPr>
            </w:pPr>
            <w:r>
              <w:rPr>
                <w:rFonts w:hint="eastAsia" w:ascii="宋体" w:hAnsi="宋体"/>
                <w:b/>
                <w:bCs/>
                <w:color w:val="auto"/>
              </w:rPr>
              <w:t>谈判文件获取时间</w:t>
            </w:r>
          </w:p>
        </w:tc>
        <w:tc>
          <w:tcPr>
            <w:tcW w:w="6391" w:type="dxa"/>
            <w:gridSpan w:val="4"/>
            <w:vAlign w:val="center"/>
          </w:tcPr>
          <w:p>
            <w:pPr>
              <w:spacing w:line="200" w:lineRule="atLeast"/>
              <w:rPr>
                <w:rFonts w:ascii="宋体"/>
                <w:color w:val="auto"/>
              </w:rPr>
            </w:pPr>
            <w:r>
              <w:rPr>
                <w:rFonts w:ascii="宋体" w:hAnsi="宋体"/>
                <w:color w:val="auto"/>
              </w:rPr>
              <w:t>202</w:t>
            </w:r>
            <w:r>
              <w:rPr>
                <w:rFonts w:hint="eastAsia" w:ascii="宋体" w:hAnsi="宋体"/>
                <w:color w:val="auto"/>
                <w:lang w:val="en-US" w:eastAsia="zh-CN"/>
              </w:rPr>
              <w:t>3</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w:t>
            </w:r>
            <w:r>
              <w:rPr>
                <w:rFonts w:hint="eastAsia" w:ascii="宋体" w:hAnsi="宋体"/>
                <w:color w:val="auto"/>
                <w:lang w:val="en-US" w:eastAsia="zh-CN"/>
              </w:rPr>
              <w:t>10</w:t>
            </w:r>
            <w:r>
              <w:rPr>
                <w:rFonts w:hint="eastAsia" w:ascii="宋体" w:hAnsi="宋体"/>
                <w:color w:val="auto"/>
              </w:rPr>
              <w:t>日</w:t>
            </w:r>
            <w:r>
              <w:rPr>
                <w:rFonts w:ascii="宋体" w:hAnsi="宋体"/>
                <w:color w:val="auto"/>
              </w:rPr>
              <w:t>8</w:t>
            </w:r>
            <w:r>
              <w:rPr>
                <w:rFonts w:hint="eastAsia" w:ascii="宋体" w:hAnsi="宋体"/>
                <w:color w:val="auto"/>
              </w:rPr>
              <w:t>时</w:t>
            </w:r>
            <w:r>
              <w:rPr>
                <w:rFonts w:ascii="宋体" w:hAnsi="宋体"/>
                <w:color w:val="auto"/>
              </w:rPr>
              <w:t>30</w:t>
            </w:r>
            <w:r>
              <w:rPr>
                <w:rFonts w:hint="eastAsia" w:ascii="宋体" w:hAnsi="宋体"/>
                <w:color w:val="auto"/>
              </w:rPr>
              <w:t>分至</w:t>
            </w:r>
            <w:r>
              <w:rPr>
                <w:rFonts w:ascii="宋体" w:hAnsi="宋体"/>
                <w:color w:val="auto"/>
              </w:rPr>
              <w:t>202</w:t>
            </w:r>
            <w:r>
              <w:rPr>
                <w:rFonts w:hint="eastAsia" w:ascii="宋体" w:hAnsi="宋体"/>
                <w:color w:val="auto"/>
                <w:lang w:val="en-US" w:eastAsia="zh-CN"/>
              </w:rPr>
              <w:t>3</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w:t>
            </w:r>
            <w:r>
              <w:rPr>
                <w:rFonts w:hint="eastAsia" w:ascii="宋体" w:hAnsi="宋体"/>
                <w:color w:val="auto"/>
                <w:lang w:val="en-US" w:eastAsia="zh-CN"/>
              </w:rPr>
              <w:t>14</w:t>
            </w:r>
            <w:r>
              <w:rPr>
                <w:rFonts w:hint="eastAsia" w:ascii="宋体" w:hAnsi="宋体"/>
                <w:color w:val="auto"/>
              </w:rPr>
              <w:t>日</w:t>
            </w:r>
            <w:r>
              <w:rPr>
                <w:rFonts w:ascii="宋体" w:hAnsi="宋体"/>
                <w:color w:val="auto"/>
              </w:rPr>
              <w:t>17</w:t>
            </w:r>
            <w:r>
              <w:rPr>
                <w:rFonts w:hint="eastAsia" w:ascii="宋体" w:hAnsi="宋体"/>
                <w:color w:val="auto"/>
              </w:rPr>
              <w:t>时</w:t>
            </w:r>
            <w:r>
              <w:rPr>
                <w:rFonts w:ascii="宋体" w:hAnsi="宋体"/>
                <w:color w:val="auto"/>
              </w:rPr>
              <w:t>30</w:t>
            </w:r>
            <w:r>
              <w:rPr>
                <w:rFonts w:hint="eastAsia" w:ascii="宋体"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234" w:type="dxa"/>
            <w:vAlign w:val="center"/>
          </w:tcPr>
          <w:p>
            <w:pPr>
              <w:spacing w:line="200" w:lineRule="atLeast"/>
              <w:jc w:val="center"/>
              <w:rPr>
                <w:rFonts w:ascii="宋体"/>
                <w:b/>
                <w:bCs/>
                <w:color w:val="auto"/>
              </w:rPr>
            </w:pPr>
            <w:r>
              <w:rPr>
                <w:rFonts w:hint="eastAsia" w:ascii="宋体" w:hAnsi="宋体"/>
                <w:b/>
                <w:bCs/>
                <w:color w:val="auto"/>
              </w:rPr>
              <w:t>提交响应文件</w:t>
            </w:r>
          </w:p>
          <w:p>
            <w:pPr>
              <w:spacing w:line="200" w:lineRule="atLeast"/>
              <w:jc w:val="center"/>
              <w:rPr>
                <w:rFonts w:ascii="宋体"/>
                <w:b/>
                <w:bCs/>
                <w:color w:val="auto"/>
              </w:rPr>
            </w:pPr>
            <w:r>
              <w:rPr>
                <w:rFonts w:hint="eastAsia" w:ascii="宋体" w:hAnsi="宋体"/>
                <w:b/>
                <w:bCs/>
                <w:color w:val="auto"/>
              </w:rPr>
              <w:t>截止时间：</w:t>
            </w:r>
          </w:p>
        </w:tc>
        <w:tc>
          <w:tcPr>
            <w:tcW w:w="6391" w:type="dxa"/>
            <w:gridSpan w:val="4"/>
            <w:vAlign w:val="center"/>
          </w:tcPr>
          <w:p>
            <w:pPr>
              <w:spacing w:line="200" w:lineRule="atLeast"/>
              <w:rPr>
                <w:rFonts w:ascii="宋体"/>
                <w:color w:val="auto"/>
              </w:rPr>
            </w:pPr>
            <w:r>
              <w:rPr>
                <w:rFonts w:ascii="宋体" w:hAnsi="宋体"/>
                <w:color w:val="auto"/>
              </w:rPr>
              <w:t>202</w:t>
            </w:r>
            <w:r>
              <w:rPr>
                <w:rFonts w:hint="eastAsia" w:ascii="宋体" w:hAnsi="宋体"/>
                <w:color w:val="auto"/>
                <w:lang w:val="en-US" w:eastAsia="zh-CN"/>
              </w:rPr>
              <w:t>3</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日</w:t>
            </w:r>
            <w:r>
              <w:rPr>
                <w:rFonts w:ascii="宋体" w:hAnsi="宋体"/>
                <w:color w:val="auto"/>
              </w:rPr>
              <w:t>9</w:t>
            </w:r>
            <w:r>
              <w:rPr>
                <w:rFonts w:hint="eastAsia" w:ascii="宋体" w:hAnsi="宋体"/>
                <w:color w:val="auto"/>
              </w:rPr>
              <w:t>时0</w:t>
            </w:r>
            <w:r>
              <w:rPr>
                <w:rFonts w:ascii="宋体" w:hAnsi="宋体"/>
                <w:color w:val="auto"/>
              </w:rPr>
              <w:t>0</w:t>
            </w:r>
            <w:r>
              <w:rPr>
                <w:rFonts w:hint="eastAsia" w:ascii="宋体"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234" w:type="dxa"/>
            <w:vAlign w:val="center"/>
          </w:tcPr>
          <w:p>
            <w:pPr>
              <w:spacing w:line="200" w:lineRule="atLeast"/>
              <w:jc w:val="center"/>
              <w:rPr>
                <w:rFonts w:ascii="宋体"/>
                <w:b/>
                <w:bCs/>
                <w:color w:val="auto"/>
              </w:rPr>
            </w:pPr>
            <w:r>
              <w:rPr>
                <w:rFonts w:hint="eastAsia" w:ascii="宋体" w:hAnsi="宋体"/>
                <w:b/>
                <w:bCs/>
                <w:color w:val="auto"/>
              </w:rPr>
              <w:t>开标时间</w:t>
            </w:r>
          </w:p>
        </w:tc>
        <w:tc>
          <w:tcPr>
            <w:tcW w:w="6391" w:type="dxa"/>
            <w:gridSpan w:val="4"/>
            <w:vAlign w:val="center"/>
          </w:tcPr>
          <w:p>
            <w:pPr>
              <w:spacing w:line="200" w:lineRule="atLeast"/>
              <w:rPr>
                <w:rFonts w:ascii="宋体"/>
                <w:color w:val="auto"/>
              </w:rPr>
            </w:pPr>
            <w:r>
              <w:rPr>
                <w:rFonts w:ascii="宋体" w:hAnsi="宋体"/>
                <w:color w:val="auto"/>
              </w:rPr>
              <w:t>202</w:t>
            </w:r>
            <w:r>
              <w:rPr>
                <w:rFonts w:hint="eastAsia" w:ascii="宋体" w:hAnsi="宋体"/>
                <w:color w:val="auto"/>
                <w:lang w:val="en-US" w:eastAsia="zh-CN"/>
              </w:rPr>
              <w:t>3</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日</w:t>
            </w:r>
            <w:r>
              <w:rPr>
                <w:rFonts w:ascii="宋体" w:hAnsi="宋体"/>
                <w:color w:val="auto"/>
              </w:rPr>
              <w:t>9</w:t>
            </w:r>
            <w:r>
              <w:rPr>
                <w:rFonts w:hint="eastAsia" w:ascii="宋体" w:hAnsi="宋体"/>
                <w:color w:val="auto"/>
              </w:rPr>
              <w:t>时0</w:t>
            </w:r>
            <w:r>
              <w:rPr>
                <w:rFonts w:ascii="宋体" w:hAnsi="宋体"/>
                <w:color w:val="auto"/>
              </w:rPr>
              <w:t>0</w:t>
            </w:r>
            <w:r>
              <w:rPr>
                <w:rFonts w:hint="eastAsia" w:ascii="宋体"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234" w:type="dxa"/>
            <w:vAlign w:val="center"/>
          </w:tcPr>
          <w:p>
            <w:pPr>
              <w:spacing w:line="200" w:lineRule="atLeast"/>
              <w:jc w:val="center"/>
              <w:rPr>
                <w:rFonts w:ascii="宋体"/>
                <w:b/>
                <w:bCs/>
                <w:color w:val="auto"/>
              </w:rPr>
            </w:pPr>
            <w:r>
              <w:rPr>
                <w:rFonts w:hint="eastAsia" w:ascii="宋体" w:hAnsi="宋体"/>
                <w:b/>
                <w:bCs/>
                <w:color w:val="auto"/>
              </w:rPr>
              <w:t>开标地点</w:t>
            </w:r>
          </w:p>
        </w:tc>
        <w:tc>
          <w:tcPr>
            <w:tcW w:w="6391" w:type="dxa"/>
            <w:gridSpan w:val="4"/>
            <w:vAlign w:val="center"/>
          </w:tcPr>
          <w:p>
            <w:pPr>
              <w:spacing w:line="200" w:lineRule="atLeast"/>
              <w:rPr>
                <w:rFonts w:ascii="宋体"/>
                <w:color w:val="auto"/>
              </w:rPr>
            </w:pPr>
            <w:r>
              <w:rPr>
                <w:rFonts w:hint="eastAsia" w:ascii="宋体" w:hAnsi="宋体"/>
                <w:color w:val="auto"/>
              </w:rPr>
              <w:t>网上开标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34" w:type="dxa"/>
            <w:vAlign w:val="center"/>
          </w:tcPr>
          <w:p>
            <w:pPr>
              <w:spacing w:line="200" w:lineRule="atLeast"/>
              <w:jc w:val="center"/>
              <w:rPr>
                <w:rFonts w:ascii="宋体"/>
                <w:b/>
                <w:bCs/>
                <w:color w:val="auto"/>
              </w:rPr>
            </w:pPr>
            <w:r>
              <w:rPr>
                <w:rFonts w:hint="eastAsia" w:ascii="宋体" w:hAnsi="宋体"/>
                <w:b/>
                <w:bCs/>
                <w:color w:val="auto"/>
                <w:highlight w:val="none"/>
                <w:lang w:eastAsia="zh-CN"/>
              </w:rPr>
              <w:t>其他补充事宜</w:t>
            </w:r>
          </w:p>
        </w:tc>
        <w:tc>
          <w:tcPr>
            <w:tcW w:w="6391" w:type="dxa"/>
            <w:gridSpan w:val="4"/>
            <w:vAlign w:val="center"/>
          </w:tcPr>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1、本项目投标（响应）文件采用数据电子形式，投标人的单位印章、法定代表人（单位负责人）的签字或印章均应使用 CA 数字证书电子印章，</w:t>
            </w:r>
          </w:p>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供应商需办理数字证书CA秘钥并登录承德市公共资源交易平台（http://xzspj.chengde.gov.cn/ggzy/）在线参与投标活动。</w:t>
            </w:r>
          </w:p>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2、办理CA秘钥（http://publicservice.hebpr.cn:8181/#）可在河北CA、山西CA、北京CA、联通CA、CQCCA、CFCA中选择办理（排名不分前后），办理CA咨询电话如下：</w:t>
            </w:r>
          </w:p>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河北CA：400-707-3355</w:t>
            </w:r>
          </w:p>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北京CA：400-994-3319</w:t>
            </w:r>
          </w:p>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山西CA：400-653-0200</w:t>
            </w:r>
          </w:p>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联通CA：0311-85691619</w:t>
            </w:r>
          </w:p>
          <w:p>
            <w:pPr>
              <w:pStyle w:val="16"/>
              <w:numPr>
                <w:ilvl w:val="0"/>
                <w:numId w:val="0"/>
              </w:numPr>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CFCA：400-880-9888</w:t>
            </w:r>
          </w:p>
          <w:p>
            <w:pPr>
              <w:pStyle w:val="16"/>
              <w:numPr>
                <w:ilvl w:val="0"/>
                <w:numId w:val="0"/>
              </w:numPr>
              <w:ind w:left="0" w:leftChars="0" w:firstLine="0" w:firstLineChars="0"/>
              <w:rPr>
                <w:rFonts w:ascii="宋体"/>
                <w:color w:val="auto"/>
                <w:szCs w:val="21"/>
              </w:rPr>
            </w:pPr>
            <w:r>
              <w:rPr>
                <w:rFonts w:hint="eastAsia" w:ascii="宋体" w:hAnsi="宋体" w:eastAsia="宋体" w:cs="宋体"/>
                <w:b w:val="0"/>
                <w:bCs w:val="0"/>
                <w:color w:val="auto"/>
                <w:kern w:val="2"/>
                <w:sz w:val="21"/>
                <w:szCs w:val="21"/>
                <w:highlight w:val="none"/>
                <w:lang w:val="en-US" w:eastAsia="zh-CN" w:bidi="ar-SA"/>
              </w:rPr>
              <w:t>CQCCA：13832326174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4" w:type="dxa"/>
            <w:vAlign w:val="center"/>
          </w:tcPr>
          <w:p>
            <w:pPr>
              <w:spacing w:line="200" w:lineRule="atLeast"/>
              <w:jc w:val="center"/>
              <w:rPr>
                <w:rFonts w:hint="eastAsia" w:ascii="宋体" w:hAnsi="宋体"/>
                <w:b/>
                <w:bCs/>
                <w:color w:val="auto"/>
                <w:highlight w:val="none"/>
                <w:lang w:eastAsia="zh-CN"/>
              </w:rPr>
            </w:pPr>
            <w:r>
              <w:rPr>
                <w:rFonts w:hint="eastAsia" w:ascii="宋体" w:hAnsi="宋体"/>
                <w:b/>
                <w:bCs/>
                <w:color w:val="auto"/>
              </w:rPr>
              <w:t>促进中小企业发展</w:t>
            </w:r>
          </w:p>
        </w:tc>
        <w:tc>
          <w:tcPr>
            <w:tcW w:w="6391" w:type="dxa"/>
            <w:gridSpan w:val="4"/>
            <w:vAlign w:val="center"/>
          </w:tcPr>
          <w:p>
            <w:pPr>
              <w:spacing w:line="200" w:lineRule="atLeast"/>
              <w:rPr>
                <w:rFonts w:hint="eastAsia" w:ascii="宋体" w:hAnsi="宋体"/>
                <w:color w:val="auto"/>
              </w:rPr>
            </w:pPr>
            <w:r>
              <w:rPr>
                <w:rFonts w:hint="eastAsia" w:ascii="宋体" w:hAnsi="宋体"/>
                <w:color w:val="auto"/>
              </w:rPr>
              <w:t>中小企业政策</w:t>
            </w:r>
          </w:p>
          <w:p>
            <w:pPr>
              <w:spacing w:line="200" w:lineRule="atLeast"/>
              <w:rPr>
                <w:rFonts w:hint="eastAsia" w:ascii="宋体" w:hAnsi="宋体"/>
                <w:color w:val="auto"/>
              </w:rPr>
            </w:pPr>
            <w:r>
              <w:rPr>
                <w:rFonts w:hint="eastAsia" w:ascii="仿宋_GB2312" w:hAnsi="仿宋_GB2312" w:eastAsia="仿宋_GB2312" w:cs="仿宋_GB2312"/>
                <w:color w:val="auto"/>
                <w:kern w:val="0"/>
                <w:sz w:val="24"/>
                <w:szCs w:val="24"/>
                <w:lang w:eastAsia="zh-CN"/>
              </w:rPr>
              <w:t>☑</w:t>
            </w:r>
            <w:r>
              <w:rPr>
                <w:rFonts w:hint="eastAsia" w:ascii="宋体" w:hAnsi="宋体"/>
                <w:color w:val="auto"/>
              </w:rPr>
              <w:t>本项目不专门面向中小企业预留采购份额。</w:t>
            </w:r>
          </w:p>
          <w:p>
            <w:pPr>
              <w:spacing w:line="200" w:lineRule="atLeast"/>
              <w:rPr>
                <w:rFonts w:hint="eastAsia" w:ascii="宋体" w:hAnsi="宋体"/>
                <w:color w:val="auto"/>
              </w:rPr>
            </w:pPr>
            <w:r>
              <w:rPr>
                <w:rFonts w:hint="eastAsia" w:ascii="仿宋_GB2312" w:hAnsi="仿宋_GB2312" w:eastAsia="仿宋_GB2312" w:cs="仿宋_GB2312"/>
                <w:color w:val="auto"/>
                <w:kern w:val="0"/>
                <w:sz w:val="24"/>
                <w:szCs w:val="24"/>
                <w:lang w:eastAsia="zh-CN"/>
              </w:rPr>
              <w:t>□</w:t>
            </w:r>
            <w:r>
              <w:rPr>
                <w:rFonts w:hint="eastAsia" w:ascii="宋体" w:hAnsi="宋体"/>
                <w:color w:val="auto"/>
              </w:rPr>
              <w:t xml:space="preserve">本项目专门面向  </w:t>
            </w:r>
            <w:r>
              <w:rPr>
                <w:rFonts w:hint="eastAsia" w:ascii="仿宋_GB2312" w:hAnsi="仿宋_GB2312" w:eastAsia="仿宋_GB2312" w:cs="仿宋_GB2312"/>
                <w:color w:val="auto"/>
                <w:kern w:val="0"/>
                <w:sz w:val="24"/>
                <w:szCs w:val="24"/>
                <w:lang w:eastAsia="zh-CN"/>
              </w:rPr>
              <w:t>□</w:t>
            </w:r>
            <w:r>
              <w:rPr>
                <w:rFonts w:hint="eastAsia" w:ascii="宋体" w:hAnsi="宋体"/>
                <w:color w:val="auto"/>
              </w:rPr>
              <w:t xml:space="preserve">中小 </w:t>
            </w:r>
            <w:r>
              <w:rPr>
                <w:rFonts w:hint="eastAsia" w:ascii="仿宋_GB2312" w:hAnsi="仿宋_GB2312" w:eastAsia="仿宋_GB2312" w:cs="仿宋_GB2312"/>
                <w:color w:val="auto"/>
                <w:kern w:val="0"/>
                <w:sz w:val="24"/>
                <w:szCs w:val="24"/>
                <w:lang w:eastAsia="zh-CN"/>
              </w:rPr>
              <w:t>□</w:t>
            </w:r>
            <w:r>
              <w:rPr>
                <w:rFonts w:hint="eastAsia" w:ascii="宋体" w:hAnsi="宋体"/>
                <w:color w:val="auto"/>
              </w:rPr>
              <w:t>小微企业采购。即：提供的货物全部由符合政策要求的中小/小微企业制造、服务全部由符合政策要求的中小/小微企业承接。</w:t>
            </w:r>
          </w:p>
          <w:p>
            <w:pPr>
              <w:spacing w:line="200" w:lineRule="atLeast"/>
              <w:rPr>
                <w:rFonts w:hint="eastAsia" w:ascii="宋体" w:hAnsi="宋体" w:eastAsia="宋体" w:cs="宋体"/>
                <w:b w:val="0"/>
                <w:bCs w:val="0"/>
                <w:color w:val="auto"/>
                <w:kern w:val="2"/>
                <w:sz w:val="21"/>
                <w:szCs w:val="21"/>
                <w:highlight w:val="none"/>
                <w:lang w:val="en-US" w:eastAsia="zh-CN" w:bidi="ar-SA"/>
              </w:rPr>
            </w:pPr>
            <w:r>
              <w:rPr>
                <w:rFonts w:hint="eastAsia" w:ascii="仿宋_GB2312" w:hAnsi="仿宋_GB2312" w:eastAsia="仿宋_GB2312" w:cs="仿宋_GB2312"/>
                <w:color w:val="auto"/>
                <w:kern w:val="0"/>
                <w:sz w:val="24"/>
                <w:szCs w:val="24"/>
                <w:lang w:eastAsia="zh-CN"/>
              </w:rPr>
              <w:t>☑</w:t>
            </w:r>
            <w:r>
              <w:rPr>
                <w:rFonts w:hint="eastAsia" w:ascii="宋体" w:hAnsi="宋体"/>
                <w:color w:val="auto"/>
              </w:rPr>
              <w:t>对小微企业报价给予</w:t>
            </w:r>
            <w:r>
              <w:rPr>
                <w:rFonts w:hint="eastAsia" w:ascii="宋体" w:hAnsi="宋体"/>
                <w:color w:val="auto"/>
                <w:u w:val="single"/>
                <w:lang w:val="en-US" w:eastAsia="zh-CN"/>
              </w:rPr>
              <w:t>10</w:t>
            </w:r>
            <w:r>
              <w:rPr>
                <w:rFonts w:hint="eastAsia" w:ascii="宋体" w:hAnsi="宋体"/>
                <w:color w:val="auto"/>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34" w:type="dxa"/>
            <w:vAlign w:val="center"/>
          </w:tcPr>
          <w:p>
            <w:pPr>
              <w:spacing w:line="200" w:lineRule="atLeast"/>
              <w:jc w:val="center"/>
              <w:rPr>
                <w:rFonts w:ascii="宋体"/>
                <w:b/>
                <w:bCs/>
                <w:color w:val="auto"/>
              </w:rPr>
            </w:pPr>
            <w:r>
              <w:rPr>
                <w:rFonts w:hint="eastAsia" w:ascii="宋体" w:hAnsi="宋体"/>
                <w:b/>
                <w:bCs/>
                <w:color w:val="auto"/>
                <w:lang w:eastAsia="zh-CN"/>
              </w:rPr>
              <w:t>投标</w:t>
            </w:r>
            <w:r>
              <w:rPr>
                <w:rFonts w:hint="eastAsia" w:ascii="宋体" w:hAnsi="宋体"/>
                <w:b/>
                <w:bCs/>
                <w:color w:val="auto"/>
              </w:rPr>
              <w:t>保证金</w:t>
            </w:r>
          </w:p>
        </w:tc>
        <w:tc>
          <w:tcPr>
            <w:tcW w:w="6391" w:type="dxa"/>
            <w:gridSpan w:val="4"/>
            <w:vAlign w:val="center"/>
          </w:tcPr>
          <w:p>
            <w:pPr>
              <w:pStyle w:val="16"/>
              <w:rPr>
                <w:rFonts w:hint="eastAsia" w:eastAsia="宋体"/>
                <w:color w:val="auto"/>
                <w:lang w:val="en-US" w:eastAsia="zh-CN"/>
              </w:rPr>
            </w:pPr>
            <w:r>
              <w:rPr>
                <w:rFonts w:hint="eastAsia"/>
                <w:b w:val="0"/>
                <w:bCs w:val="0"/>
                <w:color w:val="auto"/>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34" w:type="dxa"/>
            <w:vAlign w:val="center"/>
          </w:tcPr>
          <w:p>
            <w:pPr>
              <w:spacing w:line="200" w:lineRule="atLeast"/>
              <w:jc w:val="center"/>
              <w:rPr>
                <w:rFonts w:ascii="宋体"/>
                <w:b/>
                <w:bCs/>
                <w:color w:val="auto"/>
              </w:rPr>
            </w:pPr>
            <w:r>
              <w:rPr>
                <w:rFonts w:hint="eastAsia" w:ascii="宋体" w:hAnsi="宋体"/>
                <w:b/>
                <w:bCs/>
                <w:color w:val="auto"/>
              </w:rPr>
              <w:t>本公告发布媒体</w:t>
            </w:r>
          </w:p>
        </w:tc>
        <w:tc>
          <w:tcPr>
            <w:tcW w:w="6391" w:type="dxa"/>
            <w:gridSpan w:val="4"/>
            <w:vAlign w:val="center"/>
          </w:tcPr>
          <w:p>
            <w:pPr>
              <w:spacing w:line="200" w:lineRule="atLeast"/>
              <w:rPr>
                <w:color w:val="auto"/>
              </w:rPr>
            </w:pPr>
            <w:r>
              <w:rPr>
                <w:rFonts w:hint="eastAsia"/>
                <w:color w:val="auto"/>
              </w:rPr>
              <w:t>河北省政府采购网（</w:t>
            </w:r>
            <w:r>
              <w:rPr>
                <w:color w:val="auto"/>
              </w:rPr>
              <w:t>http://www.ccgp-hebei.gov.cn/province/</w:t>
            </w:r>
            <w:r>
              <w:rPr>
                <w:rFonts w:hint="eastAsia"/>
                <w:color w:val="auto"/>
              </w:rPr>
              <w:t>）、</w:t>
            </w:r>
          </w:p>
          <w:p>
            <w:pPr>
              <w:spacing w:line="200" w:lineRule="atLeast"/>
              <w:rPr>
                <w:rFonts w:ascii="宋体"/>
                <w:color w:val="auto"/>
              </w:rPr>
            </w:pPr>
            <w:r>
              <w:rPr>
                <w:rFonts w:hint="eastAsia"/>
                <w:color w:val="auto"/>
              </w:rPr>
              <w:t>承德市公共资源交易中心网站（</w:t>
            </w:r>
            <w:r>
              <w:rPr>
                <w:color w:val="auto"/>
              </w:rPr>
              <w:t>http://xzspj.chengde.gov.cn/ggzy</w:t>
            </w:r>
            <w:r>
              <w:rPr>
                <w:rFonts w:hint="eastAsia"/>
                <w:color w:val="auto"/>
              </w:rPr>
              <w:t>）</w:t>
            </w:r>
          </w:p>
        </w:tc>
      </w:tr>
    </w:tbl>
    <w:p>
      <w:pPr>
        <w:pStyle w:val="21"/>
        <w:spacing w:line="480" w:lineRule="exact"/>
        <w:ind w:firstLine="614" w:firstLineChars="170"/>
        <w:jc w:val="center"/>
        <w:outlineLvl w:val="9"/>
        <w:rPr>
          <w:rFonts w:hint="eastAsia" w:hAnsi="宋体"/>
          <w:b/>
          <w:bCs/>
          <w:color w:val="auto"/>
          <w:sz w:val="36"/>
          <w:szCs w:val="36"/>
        </w:rPr>
      </w:pPr>
      <w:bookmarkStart w:id="7" w:name="第二部分"/>
      <w:bookmarkEnd w:id="7"/>
      <w:bookmarkStart w:id="8" w:name="_Toc26714"/>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ind w:firstLine="614" w:firstLineChars="170"/>
        <w:jc w:val="center"/>
        <w:outlineLvl w:val="9"/>
        <w:rPr>
          <w:rFonts w:hint="eastAsia" w:hAnsi="宋体"/>
          <w:b/>
          <w:bCs/>
          <w:color w:val="auto"/>
          <w:sz w:val="36"/>
          <w:szCs w:val="36"/>
        </w:rPr>
      </w:pPr>
    </w:p>
    <w:p>
      <w:pPr>
        <w:pStyle w:val="21"/>
        <w:spacing w:line="480" w:lineRule="exact"/>
        <w:jc w:val="center"/>
        <w:outlineLvl w:val="0"/>
        <w:rPr>
          <w:rFonts w:hAnsi="宋体"/>
          <w:b/>
          <w:bCs/>
          <w:sz w:val="36"/>
          <w:szCs w:val="36"/>
        </w:rPr>
      </w:pPr>
      <w:r>
        <w:rPr>
          <w:rFonts w:hint="eastAsia" w:hAnsi="宋体"/>
          <w:b/>
          <w:bCs/>
          <w:color w:val="auto"/>
          <w:sz w:val="36"/>
          <w:szCs w:val="36"/>
        </w:rPr>
        <w:br w:type="page"/>
      </w:r>
      <w:bookmarkEnd w:id="8"/>
      <w:bookmarkStart w:id="9" w:name="第三部分"/>
      <w:bookmarkEnd w:id="9"/>
      <w:bookmarkStart w:id="10" w:name="_Toc12119"/>
      <w:bookmarkStart w:id="11" w:name="_Toc24661"/>
      <w:bookmarkStart w:id="12" w:name="_Toc25639"/>
      <w:bookmarkStart w:id="13" w:name="_Toc8788129"/>
      <w:r>
        <w:rPr>
          <w:rFonts w:hint="eastAsia" w:hAnsi="宋体"/>
          <w:b/>
          <w:bCs/>
          <w:sz w:val="36"/>
          <w:szCs w:val="36"/>
        </w:rPr>
        <w:t>第二部分</w:t>
      </w:r>
      <w:bookmarkStart w:id="14" w:name="_Toc5597392"/>
      <w:r>
        <w:rPr>
          <w:rFonts w:hint="eastAsia" w:hAnsi="宋体"/>
          <w:b/>
          <w:bCs/>
          <w:sz w:val="36"/>
          <w:szCs w:val="36"/>
        </w:rPr>
        <w:t xml:space="preserve">  投标须知</w:t>
      </w:r>
      <w:bookmarkEnd w:id="10"/>
      <w:bookmarkEnd w:id="11"/>
      <w:bookmarkEnd w:id="12"/>
      <w:bookmarkEnd w:id="14"/>
    </w:p>
    <w:p>
      <w:pPr>
        <w:pStyle w:val="21"/>
        <w:spacing w:line="480" w:lineRule="exact"/>
        <w:jc w:val="center"/>
        <w:outlineLvl w:val="1"/>
        <w:rPr>
          <w:rFonts w:hAnsi="宋体"/>
          <w:b/>
          <w:bCs/>
          <w:sz w:val="28"/>
          <w:szCs w:val="24"/>
        </w:rPr>
      </w:pPr>
      <w:bookmarkStart w:id="15" w:name="_Toc8653"/>
      <w:bookmarkStart w:id="16" w:name="_Toc4722"/>
      <w:bookmarkStart w:id="17" w:name="_Toc884"/>
      <w:r>
        <w:rPr>
          <w:rFonts w:hint="eastAsia" w:hAnsi="宋体"/>
          <w:b/>
          <w:bCs/>
          <w:sz w:val="28"/>
          <w:szCs w:val="24"/>
        </w:rPr>
        <w:t>Ａ 说  明</w:t>
      </w:r>
      <w:bookmarkEnd w:id="15"/>
      <w:bookmarkEnd w:id="16"/>
      <w:bookmarkEnd w:id="17"/>
    </w:p>
    <w:p>
      <w:pPr>
        <w:spacing w:line="360" w:lineRule="auto"/>
        <w:rPr>
          <w:rFonts w:ascii="宋体"/>
          <w:sz w:val="24"/>
        </w:rPr>
      </w:pPr>
      <w:r>
        <w:rPr>
          <w:rFonts w:ascii="宋体" w:hAnsi="宋体"/>
          <w:sz w:val="24"/>
        </w:rPr>
        <w:t xml:space="preserve">1. </w:t>
      </w:r>
      <w:r>
        <w:rPr>
          <w:rFonts w:hint="eastAsia" w:ascii="宋体" w:hAnsi="宋体"/>
          <w:sz w:val="24"/>
        </w:rPr>
        <w:t>适用范围</w:t>
      </w:r>
    </w:p>
    <w:p>
      <w:pPr>
        <w:spacing w:line="360" w:lineRule="auto"/>
        <w:ind w:firstLine="480" w:firstLineChars="200"/>
        <w:rPr>
          <w:rFonts w:ascii="宋体"/>
          <w:sz w:val="24"/>
        </w:rPr>
      </w:pPr>
      <w:r>
        <w:rPr>
          <w:rFonts w:ascii="宋体" w:hAnsi="宋体"/>
          <w:sz w:val="24"/>
        </w:rPr>
        <w:t xml:space="preserve">1.1 </w:t>
      </w:r>
      <w:r>
        <w:rPr>
          <w:rFonts w:hint="eastAsia" w:ascii="宋体" w:hAnsi="宋体"/>
          <w:sz w:val="24"/>
        </w:rPr>
        <w:t>本谈判文件仅适用于本次采购活动。</w:t>
      </w:r>
    </w:p>
    <w:p>
      <w:pPr>
        <w:spacing w:before="78" w:beforeLines="25" w:line="480" w:lineRule="exact"/>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合格的供应商</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供应商开标时须提供下列资料由采购人进行资格审查。（供应商资格条件证明资料，以上传电子文件为准，取消原件评审）。</w:t>
      </w:r>
    </w:p>
    <w:p>
      <w:pPr>
        <w:spacing w:line="440" w:lineRule="exact"/>
        <w:ind w:firstLine="480" w:firstLineChars="200"/>
        <w:rPr>
          <w:rFonts w:ascii="宋体" w:hAnsi="宋体"/>
          <w:sz w:val="24"/>
        </w:rPr>
      </w:pPr>
      <w:r>
        <w:rPr>
          <w:rFonts w:hint="eastAsia" w:ascii="宋体" w:hAnsi="宋体"/>
          <w:sz w:val="24"/>
        </w:rPr>
        <w:t>(1)法人或其他组织的营业执照、银行开户许可证等证明文件、自然人的身份证明（供应商是法人的，须提供法定代表人证明，法定代表人授权委托他人的，须同时提供法定代表人签署或盖章并加盖公章的委托书）；</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上一年度经审计的财务报告或其基本开户银行出具的资信证明；</w:t>
      </w:r>
      <w:r>
        <w:rPr>
          <w:rFonts w:hint="eastAsia" w:ascii="宋体" w:hAnsi="宋体"/>
          <w:sz w:val="24"/>
          <w:lang w:eastAsia="zh-CN"/>
        </w:rPr>
        <w:t>（只需提供承诺函）</w:t>
      </w:r>
    </w:p>
    <w:p>
      <w:pPr>
        <w:spacing w:line="360" w:lineRule="auto"/>
        <w:ind w:firstLine="480" w:firstLineChars="200"/>
        <w:rPr>
          <w:rFonts w:hint="eastAsia" w:ascii="宋体" w:eastAsia="宋体"/>
          <w:sz w:val="24"/>
          <w:lang w:eastAsia="zh-CN"/>
        </w:rPr>
      </w:pPr>
      <w:r>
        <w:rPr>
          <w:rFonts w:ascii="宋体" w:hAnsi="宋体"/>
          <w:sz w:val="24"/>
        </w:rPr>
        <w:t>(3)</w:t>
      </w:r>
      <w:r>
        <w:rPr>
          <w:rFonts w:hint="eastAsia" w:ascii="宋体" w:hAnsi="宋体"/>
          <w:sz w:val="24"/>
        </w:rPr>
        <w:t>依法缴纳税收和社会保障资金的凭据（依法免税或不需要缴纳社会保障资金的，提供相应文件证明）；</w:t>
      </w:r>
      <w:r>
        <w:rPr>
          <w:rFonts w:hint="eastAsia" w:ascii="宋体" w:hAnsi="宋体"/>
          <w:sz w:val="24"/>
          <w:lang w:eastAsia="zh-CN"/>
        </w:rPr>
        <w:t>（只需提供承诺函）</w:t>
      </w:r>
    </w:p>
    <w:p>
      <w:pPr>
        <w:spacing w:line="360" w:lineRule="auto"/>
        <w:ind w:firstLine="480" w:firstLineChars="200"/>
        <w:rPr>
          <w:rFonts w:ascii="宋体" w:hAnsi="宋体"/>
          <w:sz w:val="24"/>
        </w:rPr>
      </w:pPr>
      <w:r>
        <w:rPr>
          <w:rFonts w:hint="eastAsia" w:ascii="宋体" w:hAnsi="宋体"/>
          <w:sz w:val="24"/>
        </w:rPr>
        <w:t>(4)履行合同所必需的设备和专业技术能力的证明材料（见谈判文件第一部分“供应商资格要求”）；</w:t>
      </w:r>
    </w:p>
    <w:p>
      <w:pPr>
        <w:spacing w:line="360" w:lineRule="auto"/>
        <w:ind w:firstLine="480" w:firstLineChars="200"/>
        <w:rPr>
          <w:rFonts w:ascii="宋体" w:hAnsi="宋体"/>
          <w:sz w:val="24"/>
        </w:rPr>
      </w:pPr>
      <w:r>
        <w:rPr>
          <w:rFonts w:hint="eastAsia" w:ascii="宋体" w:hAnsi="宋体"/>
          <w:sz w:val="24"/>
        </w:rPr>
        <w:t>(5)参加政府采购活动前3年内在经营活动中没有重大违法记录的书面声明；</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）符合采购项目特殊要求的证明材料（见谈判文件第一部分“供应商资格要求”）。</w:t>
      </w:r>
    </w:p>
    <w:p>
      <w:pPr>
        <w:spacing w:line="360" w:lineRule="auto"/>
        <w:ind w:firstLine="480" w:firstLineChars="200"/>
        <w:rPr>
          <w:rFonts w:ascii="宋体" w:hAnsi="宋体"/>
          <w:sz w:val="24"/>
        </w:rPr>
      </w:pPr>
      <w:r>
        <w:rPr>
          <w:rFonts w:hint="eastAsia" w:ascii="宋体" w:hAnsi="宋体"/>
          <w:sz w:val="24"/>
        </w:rPr>
        <w:t>（7）人民法院裁定批准重整计划的破产企业，有及时在“信用中国”网站、国家企业信用信息公示系统、金融信用信息基础数据库中申请添加相关企业重整情况信息的，满足《中华人民共和国政府采购法》第二十二条规定的。</w:t>
      </w:r>
    </w:p>
    <w:p>
      <w:pPr>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注：根据《承德市2023年政府采购领域优化营商环境工作方案》的通知要求，该项目无需提供相关财务状况、缴纳税收和社会保障资金等证明材料，改为承诺函形式，承诺函随中标、成交公告一并公示。</w:t>
      </w:r>
    </w:p>
    <w:p>
      <w:pPr>
        <w:spacing w:line="360" w:lineRule="auto"/>
        <w:ind w:firstLine="480" w:firstLineChars="200"/>
        <w:rPr>
          <w:rFonts w:ascii="宋体"/>
          <w:sz w:val="24"/>
        </w:rPr>
      </w:pPr>
      <w:r>
        <w:rPr>
          <w:rFonts w:ascii="宋体" w:hAnsi="宋体"/>
          <w:sz w:val="24"/>
        </w:rPr>
        <w:t>2.2</w:t>
      </w:r>
      <w:r>
        <w:rPr>
          <w:rFonts w:hint="eastAsia" w:ascii="宋体" w:hAnsi="宋体"/>
          <w:sz w:val="24"/>
        </w:rPr>
        <w:t>按照《财政部关于在政府采购活动中查询及使用信用记录有关问题的通知》（财库﹝2016﹞125号）、《河北省财政厅关于进一步优化营商环境规范政府采购供应商资格条件设置等有关问题的通知》（冀财采〔2020〕14号）、《河北省2022年政府采购领域优化营商环境工作实施方案》的通知（冀财采〔2022〕6号）要求，在评标前由采购人或代理机构通过“信用中国”</w:t>
      </w:r>
      <w:r>
        <w:rPr>
          <w:rFonts w:ascii="宋体" w:hAnsi="宋体"/>
          <w:sz w:val="24"/>
        </w:rPr>
        <w:t xml:space="preserve"> (www.creditchina.gov.cn)</w:t>
      </w:r>
      <w:r>
        <w:rPr>
          <w:rFonts w:hint="eastAsia" w:ascii="宋体" w:hAnsi="宋体"/>
          <w:sz w:val="24"/>
        </w:rPr>
        <w:t>、“信用中国（河北）”</w:t>
      </w:r>
      <w:r>
        <w:rPr>
          <w:rFonts w:ascii="宋体" w:hAnsi="宋体"/>
          <w:sz w:val="24"/>
        </w:rPr>
        <w:t xml:space="preserve"> (http://xy.hebei.gov.cn)</w:t>
      </w:r>
      <w:r>
        <w:rPr>
          <w:rFonts w:hint="eastAsia" w:ascii="宋体" w:hAnsi="宋体"/>
          <w:sz w:val="24"/>
        </w:rPr>
        <w:t>、中国政府采购网</w:t>
      </w:r>
      <w:r>
        <w:rPr>
          <w:rFonts w:ascii="宋体" w:hAnsi="宋体"/>
          <w:sz w:val="24"/>
        </w:rPr>
        <w:t>(www.ccgp.gov.cn)</w:t>
      </w:r>
      <w:r>
        <w:rPr>
          <w:rFonts w:hint="eastAsia" w:ascii="宋体" w:hAnsi="宋体"/>
          <w:sz w:val="24"/>
        </w:rPr>
        <w:t>、中国河北政府采购网</w:t>
      </w:r>
      <w:r>
        <w:rPr>
          <w:rFonts w:ascii="宋体" w:hAnsi="宋体"/>
          <w:sz w:val="24"/>
        </w:rPr>
        <w:t>(http://www.ccgp-hebei.gov.cn)</w:t>
      </w:r>
      <w:r>
        <w:rPr>
          <w:rFonts w:hint="eastAsia" w:ascii="宋体" w:hAnsi="宋体"/>
          <w:sz w:val="24"/>
        </w:rPr>
        <w:t>、国家企业信用信息公示系统（</w:t>
      </w:r>
      <w:r>
        <w:rPr>
          <w:rFonts w:ascii="宋体" w:hAnsi="宋体"/>
          <w:sz w:val="24"/>
        </w:rPr>
        <w:t>http://www.gsxt.gov.cn</w:t>
      </w:r>
      <w:r>
        <w:rPr>
          <w:rFonts w:hint="eastAsia" w:ascii="宋体" w:hAnsi="宋体"/>
          <w:sz w:val="24"/>
        </w:rPr>
        <w:t>）、中国执行信息公开网（</w:t>
      </w:r>
      <w:r>
        <w:rPr>
          <w:rFonts w:ascii="宋体" w:hAnsi="宋体"/>
          <w:sz w:val="24"/>
        </w:rPr>
        <w:t>http://zxgk.court.gov.cn/</w:t>
      </w:r>
      <w:r>
        <w:rPr>
          <w:rFonts w:hint="eastAsia" w:ascii="宋体" w:hAnsi="宋体"/>
          <w:sz w:val="24"/>
        </w:rPr>
        <w:t>）等渠道查询相关主体信用记录、中国执行信息，对供应商信用记录进行甄别，对列入失信被执行人、重大税收违法</w:t>
      </w:r>
      <w:r>
        <w:rPr>
          <w:rFonts w:hint="eastAsia" w:ascii="宋体" w:hAnsi="宋体"/>
          <w:sz w:val="24"/>
          <w:lang w:eastAsia="zh-CN"/>
        </w:rPr>
        <w:t>失信主体</w:t>
      </w:r>
      <w:r>
        <w:rPr>
          <w:rFonts w:hint="eastAsia" w:ascii="宋体" w:hAnsi="宋体"/>
          <w:sz w:val="24"/>
        </w:rPr>
        <w:t>、政府采购严重违法失信、被执行行为记录名单及其他不符合《中华人民共和国政府采购法》第二十二条规定条件的供应商，拒绝其参与政府采购活动，同时对信用信息查询记录、中国执行信息和证据截图存档，信用信息查询记录、中国执行信息及相关证据与其他采购文件一并保存。</w:t>
      </w:r>
    </w:p>
    <w:p>
      <w:pPr>
        <w:spacing w:line="360" w:lineRule="auto"/>
        <w:ind w:firstLine="480" w:firstLineChars="200"/>
        <w:rPr>
          <w:rFonts w:ascii="宋体"/>
          <w:sz w:val="24"/>
        </w:rPr>
      </w:pPr>
      <w:r>
        <w:rPr>
          <w:rFonts w:hint="eastAsia" w:ascii="宋体" w:hAnsi="宋体"/>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宋体"/>
          <w:sz w:val="24"/>
        </w:rPr>
      </w:pPr>
      <w:r>
        <w:rPr>
          <w:rFonts w:ascii="宋体" w:hAnsi="宋体"/>
          <w:sz w:val="24"/>
        </w:rPr>
        <w:t>2.3</w:t>
      </w:r>
      <w:r>
        <w:rPr>
          <w:rFonts w:hint="eastAsia" w:ascii="宋体" w:hAnsi="宋体"/>
          <w:sz w:val="24"/>
        </w:rPr>
        <w:t>根据《政府采购法》第二十二条规定，信用信息查询起始时间为投标截止时间前三日，查询截止时间为投标截止时间。</w:t>
      </w:r>
    </w:p>
    <w:p>
      <w:pPr>
        <w:spacing w:line="360" w:lineRule="auto"/>
        <w:ind w:firstLine="480" w:firstLineChars="200"/>
        <w:rPr>
          <w:rFonts w:ascii="宋体"/>
          <w:sz w:val="24"/>
        </w:rPr>
      </w:pPr>
      <w:r>
        <w:rPr>
          <w:rFonts w:hint="eastAsia" w:ascii="宋体" w:hAnsi="宋体"/>
          <w:sz w:val="24"/>
        </w:rPr>
        <w:t>证据留存：查询时如发现供应商信用记录不实或发现其列入失信被执行人、重大税收违法案件当事人名单、政府采购严重违法失信行为记录名单及其他不符合《中华人民共和国政府采购法》第二十二条规定条件的供应商，则将查询结果页面下载打印，作为证据留存，同时拒绝其参与政府采购活动。供应商为联合体的，应当对所有联合体成员进行信用记录查询，联合体成员存在不良信用记录的，视同联合体存在不良信用记录，将被拒绝参加政府采购活动。</w:t>
      </w:r>
    </w:p>
    <w:p>
      <w:pPr>
        <w:spacing w:line="360" w:lineRule="auto"/>
        <w:ind w:firstLine="480" w:firstLineChars="200"/>
        <w:rPr>
          <w:rFonts w:ascii="宋体"/>
          <w:sz w:val="24"/>
        </w:rPr>
      </w:pPr>
      <w:r>
        <w:rPr>
          <w:rFonts w:ascii="宋体" w:hAnsi="宋体"/>
          <w:sz w:val="24"/>
        </w:rPr>
        <w:t>2</w:t>
      </w:r>
      <w:r>
        <w:rPr>
          <w:rFonts w:ascii="宋体"/>
          <w:sz w:val="24"/>
        </w:rPr>
        <w:t>.</w:t>
      </w:r>
      <w:r>
        <w:rPr>
          <w:rFonts w:ascii="宋体" w:hAnsi="宋体"/>
          <w:sz w:val="24"/>
        </w:rPr>
        <w:t>4</w:t>
      </w:r>
      <w:r>
        <w:rPr>
          <w:rFonts w:hint="eastAsia" w:ascii="宋体" w:hAnsi="宋体"/>
          <w:sz w:val="24"/>
        </w:rPr>
        <w:t>投标人应遵守《中华人民共和国政府采购法》等有关法律、法规。</w:t>
      </w:r>
    </w:p>
    <w:p>
      <w:pPr>
        <w:spacing w:line="360" w:lineRule="auto"/>
        <w:ind w:firstLine="480" w:firstLineChars="200"/>
        <w:rPr>
          <w:rFonts w:ascii="宋体"/>
          <w:sz w:val="24"/>
        </w:rPr>
      </w:pPr>
      <w:r>
        <w:rPr>
          <w:rFonts w:ascii="宋体" w:hAnsi="宋体"/>
          <w:sz w:val="24"/>
        </w:rPr>
        <w:t>2.5</w:t>
      </w:r>
      <w:r>
        <w:rPr>
          <w:rFonts w:hint="eastAsia" w:ascii="宋体" w:hAnsi="宋体"/>
          <w:sz w:val="24"/>
        </w:rPr>
        <w:t>由财政拨款保障的群团组织和公益一类事业单位不可以作为政府购买服务的承接主体。</w:t>
      </w:r>
    </w:p>
    <w:p>
      <w:pPr>
        <w:spacing w:line="360" w:lineRule="auto"/>
        <w:rPr>
          <w:rFonts w:ascii="宋体"/>
          <w:sz w:val="24"/>
        </w:rPr>
      </w:pPr>
      <w:r>
        <w:rPr>
          <w:rFonts w:ascii="宋体" w:hAnsi="宋体"/>
          <w:sz w:val="24"/>
        </w:rPr>
        <w:t xml:space="preserve">3. </w:t>
      </w:r>
      <w:r>
        <w:rPr>
          <w:rFonts w:hint="eastAsia" w:ascii="宋体" w:hAnsi="宋体"/>
          <w:sz w:val="24"/>
        </w:rPr>
        <w:t>投标费用的承担</w:t>
      </w:r>
    </w:p>
    <w:p>
      <w:pPr>
        <w:spacing w:line="360" w:lineRule="auto"/>
        <w:ind w:firstLine="480" w:firstLineChars="200"/>
        <w:rPr>
          <w:rFonts w:ascii="宋体"/>
          <w:sz w:val="24"/>
        </w:rPr>
      </w:pPr>
      <w:r>
        <w:rPr>
          <w:rFonts w:ascii="宋体" w:hAnsi="宋体"/>
          <w:sz w:val="24"/>
        </w:rPr>
        <w:t xml:space="preserve">3.1 </w:t>
      </w:r>
      <w:r>
        <w:rPr>
          <w:rFonts w:hint="eastAsia" w:ascii="宋体" w:hAnsi="宋体"/>
          <w:sz w:val="24"/>
        </w:rPr>
        <w:t>无论投标过程中的做法和结果如何，供应商自行承担所有与参加投标有关的全部费用。</w:t>
      </w:r>
    </w:p>
    <w:p>
      <w:pPr>
        <w:spacing w:line="360" w:lineRule="auto"/>
        <w:rPr>
          <w:rFonts w:ascii="宋体"/>
          <w:sz w:val="24"/>
        </w:rPr>
      </w:pPr>
      <w:r>
        <w:rPr>
          <w:rFonts w:ascii="宋体" w:hAnsi="宋体"/>
          <w:sz w:val="24"/>
        </w:rPr>
        <w:t xml:space="preserve">4. </w:t>
      </w:r>
      <w:r>
        <w:rPr>
          <w:rFonts w:hint="eastAsia" w:ascii="宋体" w:hAnsi="宋体"/>
          <w:sz w:val="24"/>
        </w:rPr>
        <w:t>需要落实的政府采购政策</w:t>
      </w:r>
    </w:p>
    <w:p>
      <w:pPr>
        <w:spacing w:line="360" w:lineRule="auto"/>
        <w:ind w:firstLine="480" w:firstLineChars="200"/>
        <w:rPr>
          <w:rFonts w:ascii="宋体" w:hAnsi="宋体"/>
          <w:sz w:val="24"/>
        </w:rPr>
      </w:pPr>
      <w:r>
        <w:rPr>
          <w:rFonts w:ascii="宋体" w:hAnsi="宋体"/>
          <w:sz w:val="24"/>
        </w:rPr>
        <w:t>4.1</w:t>
      </w:r>
      <w:r>
        <w:rPr>
          <w:rFonts w:hint="eastAsia" w:ascii="宋体" w:hAnsi="宋体"/>
          <w:sz w:val="24"/>
        </w:rPr>
        <w:t>采购产品未特别注明“进口产品”字样的，均必须采购本国产品。</w:t>
      </w:r>
    </w:p>
    <w:p>
      <w:pPr>
        <w:spacing w:line="360" w:lineRule="auto"/>
        <w:ind w:firstLine="480" w:firstLineChars="200"/>
        <w:rPr>
          <w:rFonts w:ascii="宋体" w:hAnsi="宋体"/>
          <w:sz w:val="24"/>
        </w:rPr>
      </w:pPr>
      <w:r>
        <w:rPr>
          <w:rFonts w:hint="eastAsia" w:ascii="宋体" w:hAnsi="宋体"/>
          <w:sz w:val="24"/>
        </w:rPr>
        <w:t>4.2根据财库[2019]9 号文《关于调整优化节能产品、环境标志产品政府采购执行机制的通知》规定，财政部、发展改革委、生态环境部等部门根据产品节能环保性能、技术水平和市场成熟程度等因素，确定实施政府采购优先采购和强制采购的产品类别及所依据的相关标准规范，以品目清单的形式发布并适时调整。依据品目清单和认证证书实施政府优先采购和强制采购。</w:t>
      </w:r>
    </w:p>
    <w:p>
      <w:pPr>
        <w:spacing w:line="360" w:lineRule="auto"/>
        <w:ind w:firstLine="480" w:firstLineChars="200"/>
        <w:rPr>
          <w:rFonts w:ascii="宋体" w:hAnsi="宋体"/>
          <w:sz w:val="24"/>
        </w:rPr>
      </w:pPr>
      <w:r>
        <w:rPr>
          <w:rFonts w:hint="eastAsia" w:ascii="宋体" w:hAnsi="宋体"/>
          <w:sz w:val="24"/>
        </w:rPr>
        <w:t>采购人拟采购的产品属于品目清单范围的，投标人须在响应文件中附所投产品的国家规定的认证机构出具的、处于有效期之内的节能产品、环境标志产品认证证书复印件并加盖公章。</w:t>
      </w:r>
    </w:p>
    <w:p>
      <w:pPr>
        <w:spacing w:line="360" w:lineRule="auto"/>
        <w:ind w:firstLine="480" w:firstLineChars="200"/>
        <w:rPr>
          <w:rFonts w:ascii="宋体" w:hAnsi="宋体"/>
          <w:sz w:val="24"/>
        </w:rPr>
      </w:pPr>
      <w:r>
        <w:rPr>
          <w:rFonts w:hint="eastAsia" w:ascii="宋体" w:hAnsi="宋体"/>
          <w:sz w:val="24"/>
        </w:rPr>
        <w:t xml:space="preserve">注： 1）环境标志产品政府采购品目清单详见财库[2019]18 文《关于印发环境标志产品政府采购品目清单的通知》； </w:t>
      </w:r>
    </w:p>
    <w:p>
      <w:pPr>
        <w:spacing w:line="360" w:lineRule="auto"/>
        <w:ind w:firstLine="480" w:firstLineChars="200"/>
        <w:rPr>
          <w:rFonts w:ascii="宋体" w:hAnsi="宋体"/>
          <w:sz w:val="24"/>
        </w:rPr>
      </w:pPr>
      <w:r>
        <w:rPr>
          <w:rFonts w:hint="eastAsia" w:ascii="宋体" w:hAnsi="宋体"/>
          <w:sz w:val="24"/>
        </w:rPr>
        <w:t>2）节能产品政府采购品目清单详见财库[2019]19号文《关于印发节能产品政府采购品目清单的通知》；</w:t>
      </w:r>
    </w:p>
    <w:p>
      <w:pPr>
        <w:spacing w:line="360" w:lineRule="auto"/>
        <w:ind w:firstLine="480" w:firstLineChars="200"/>
        <w:rPr>
          <w:rFonts w:ascii="宋体" w:hAnsi="宋体"/>
          <w:sz w:val="24"/>
        </w:rPr>
      </w:pPr>
      <w:r>
        <w:rPr>
          <w:rFonts w:hint="eastAsia" w:ascii="宋体" w:hAnsi="宋体"/>
          <w:sz w:val="24"/>
        </w:rPr>
        <w:t>3） 政府采购节能产品、环境标志产品认证机构详见 2019 第 16 号文《市场监管总局关于发布参与实施政府采购节能产品、环境标志产品认证机构名录的公告》。</w:t>
      </w:r>
    </w:p>
    <w:p>
      <w:pPr>
        <w:spacing w:line="360" w:lineRule="auto"/>
        <w:ind w:firstLine="480" w:firstLineChars="200"/>
        <w:rPr>
          <w:rFonts w:ascii="宋体" w:hAnsi="宋体"/>
          <w:sz w:val="24"/>
        </w:rPr>
      </w:pPr>
      <w:r>
        <w:rPr>
          <w:rFonts w:hint="eastAsia" w:ascii="宋体" w:hAnsi="宋体"/>
          <w:sz w:val="24"/>
        </w:rPr>
        <w:t>4)在产品性能、价格相同的情况下，优先采购节能产品、环境标志产品。</w:t>
      </w:r>
    </w:p>
    <w:p>
      <w:pPr>
        <w:spacing w:line="360" w:lineRule="auto"/>
        <w:ind w:firstLine="480" w:firstLineChars="200"/>
        <w:rPr>
          <w:rFonts w:ascii="宋体" w:hAnsi="宋体"/>
          <w:sz w:val="24"/>
        </w:rPr>
      </w:pPr>
      <w:r>
        <w:rPr>
          <w:rFonts w:hint="eastAsia" w:ascii="宋体" w:hAnsi="宋体"/>
          <w:sz w:val="24"/>
        </w:rPr>
        <w:t>4.3各潜在供应商如需低息、无抵押、无担保银行贷款，可通过“河北省政府采购网”查找融资政策和贷款合作银行，并与意向合作银行联系。合作银行将按照《河北省省级政府采购支持供应商信用融资办法》（冀财采〔 2015〕16 号）规定给潜在供应商以贷款额度，中标或成交后，凭政府采购合同给予贷款。</w:t>
      </w:r>
    </w:p>
    <w:p>
      <w:pPr>
        <w:spacing w:line="360" w:lineRule="auto"/>
        <w:ind w:firstLine="480" w:firstLineChars="200"/>
        <w:rPr>
          <w:rFonts w:ascii="宋体" w:hAnsi="宋体"/>
          <w:sz w:val="24"/>
        </w:rPr>
      </w:pPr>
      <w:r>
        <w:rPr>
          <w:rFonts w:hint="eastAsia" w:ascii="宋体" w:hAnsi="宋体"/>
          <w:sz w:val="24"/>
        </w:rPr>
        <w:t>4.4密码技术设备要求：参与使用密码技术设备政务信息系统的投标、承建及运维服务政府采购项目的供应商，必须具有国家商用密码相关资质；国产密码技术设备必须为经国家密码检测部门检测合格的密码产品。</w:t>
      </w:r>
    </w:p>
    <w:p>
      <w:pPr>
        <w:spacing w:line="360" w:lineRule="auto"/>
        <w:ind w:firstLine="480" w:firstLineChars="200"/>
        <w:rPr>
          <w:rFonts w:ascii="宋体" w:hAnsi="宋体"/>
          <w:sz w:val="24"/>
        </w:rPr>
      </w:pPr>
      <w:r>
        <w:rPr>
          <w:rFonts w:hint="eastAsia" w:ascii="宋体" w:hAnsi="宋体"/>
          <w:sz w:val="24"/>
        </w:rPr>
        <w:t>4.5根据《政府采购法实施条例》释义，银行、保险、石油石化、电力、电信等有行业特殊情况的，允许法人的分支机构参加投标和政府采购活动。分支机构参加投标或政府采购活动须具有其总公司（行）授权，分支机构资质按其总公司（行）授权范围认定。</w:t>
      </w:r>
    </w:p>
    <w:p>
      <w:pPr>
        <w:spacing w:line="360" w:lineRule="auto"/>
        <w:ind w:firstLine="480" w:firstLineChars="200"/>
        <w:rPr>
          <w:rFonts w:ascii="宋体"/>
          <w:sz w:val="24"/>
        </w:rPr>
      </w:pPr>
      <w:r>
        <w:rPr>
          <w:rFonts w:ascii="宋体" w:hAnsi="宋体"/>
          <w:sz w:val="24"/>
        </w:rPr>
        <w:t xml:space="preserve">4.6 </w:t>
      </w:r>
      <w:r>
        <w:rPr>
          <w:rFonts w:hint="eastAsia" w:ascii="宋体" w:hAnsi="宋体"/>
          <w:sz w:val="24"/>
        </w:rPr>
        <w:t>根据财政部、工业和信息化部日前发布《关于印发</w:t>
      </w:r>
      <w:r>
        <w:rPr>
          <w:rFonts w:ascii="宋体" w:hAnsi="宋体"/>
          <w:sz w:val="24"/>
        </w:rPr>
        <w:t>&lt;</w:t>
      </w:r>
      <w:r>
        <w:rPr>
          <w:rFonts w:hint="eastAsia" w:ascii="宋体" w:hAnsi="宋体"/>
          <w:sz w:val="24"/>
        </w:rPr>
        <w:t>政府采购促进中小企业发展管理办法</w:t>
      </w:r>
      <w:r>
        <w:rPr>
          <w:rFonts w:ascii="宋体" w:hAnsi="宋体"/>
          <w:sz w:val="24"/>
        </w:rPr>
        <w:t>&gt;</w:t>
      </w:r>
      <w:r>
        <w:rPr>
          <w:rFonts w:hint="eastAsia" w:ascii="宋体" w:hAnsi="宋体"/>
          <w:sz w:val="24"/>
        </w:rPr>
        <w:t>的通知》</w:t>
      </w:r>
      <w:r>
        <w:rPr>
          <w:rFonts w:ascii="宋体" w:hAnsi="宋体"/>
          <w:sz w:val="24"/>
        </w:rPr>
        <w:t>(</w:t>
      </w:r>
      <w:r>
        <w:rPr>
          <w:rFonts w:hint="eastAsia" w:ascii="宋体" w:hAnsi="宋体"/>
          <w:sz w:val="24"/>
        </w:rPr>
        <w:t>财库〔</w:t>
      </w:r>
      <w:r>
        <w:rPr>
          <w:rFonts w:ascii="宋体" w:hAnsi="宋体"/>
          <w:sz w:val="24"/>
        </w:rPr>
        <w:t>2020</w:t>
      </w:r>
      <w:r>
        <w:rPr>
          <w:rFonts w:hint="eastAsia" w:ascii="宋体" w:hAnsi="宋体"/>
          <w:sz w:val="24"/>
        </w:rPr>
        <w:t>〕</w:t>
      </w:r>
      <w:r>
        <w:rPr>
          <w:rFonts w:ascii="宋体" w:hAnsi="宋体"/>
          <w:sz w:val="24"/>
        </w:rPr>
        <w:t>46</w:t>
      </w:r>
      <w:r>
        <w:rPr>
          <w:rFonts w:hint="eastAsia" w:ascii="宋体" w:hAnsi="宋体"/>
          <w:sz w:val="24"/>
        </w:rPr>
        <w:t>号</w:t>
      </w:r>
      <w:r>
        <w:rPr>
          <w:rFonts w:ascii="宋体" w:hAnsi="宋体"/>
          <w:sz w:val="24"/>
        </w:rPr>
        <w:t>)</w:t>
      </w:r>
      <w:r>
        <w:rPr>
          <w:rFonts w:hint="eastAsia" w:ascii="宋体" w:hAnsi="宋体"/>
          <w:sz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480" w:firstLineChars="200"/>
        <w:rPr>
          <w:rFonts w:ascii="宋体"/>
          <w:sz w:val="24"/>
        </w:rPr>
      </w:pPr>
      <w:r>
        <w:rPr>
          <w:rFonts w:hint="eastAsia" w:ascii="宋体" w:hAnsi="宋体"/>
          <w:sz w:val="24"/>
        </w:rPr>
        <w:t>在政府采购活动中，供应商提供的货物、工程或者服务符合下列情形的，享受本办法规定的中小企业扶持政策：</w:t>
      </w:r>
    </w:p>
    <w:p>
      <w:pPr>
        <w:spacing w:line="360" w:lineRule="auto"/>
        <w:ind w:firstLine="480" w:firstLineChars="200"/>
        <w:rPr>
          <w:rFonts w:ascii="宋体"/>
          <w:sz w:val="24"/>
        </w:rPr>
      </w:pPr>
      <w:r>
        <w:rPr>
          <w:rFonts w:ascii="宋体" w:hAnsi="宋体"/>
          <w:sz w:val="24"/>
        </w:rPr>
        <w:t>1</w:t>
      </w:r>
      <w:r>
        <w:rPr>
          <w:rFonts w:hint="eastAsia" w:ascii="宋体" w:hAnsi="宋体"/>
          <w:sz w:val="24"/>
        </w:rPr>
        <w:t>）在货物采购项目中，货物由中小企业制造，即货物由中小企业生产且使用该中小企业商号或者注册商标；</w:t>
      </w:r>
    </w:p>
    <w:p>
      <w:pPr>
        <w:spacing w:line="360" w:lineRule="auto"/>
        <w:ind w:firstLine="480" w:firstLineChars="200"/>
        <w:rPr>
          <w:rFonts w:ascii="宋体"/>
          <w:sz w:val="24"/>
        </w:rPr>
      </w:pPr>
      <w:r>
        <w:rPr>
          <w:rFonts w:ascii="宋体" w:hAnsi="宋体"/>
          <w:sz w:val="24"/>
        </w:rPr>
        <w:t>2</w:t>
      </w:r>
      <w:r>
        <w:rPr>
          <w:rFonts w:hint="eastAsia" w:ascii="宋体" w:hAnsi="宋体"/>
          <w:sz w:val="24"/>
        </w:rPr>
        <w:t>）在工程采购项目中，工程由中小企业承建，即工程施工单位为中小企业；</w:t>
      </w:r>
    </w:p>
    <w:p>
      <w:pPr>
        <w:spacing w:line="360" w:lineRule="auto"/>
        <w:ind w:firstLine="480" w:firstLineChars="200"/>
        <w:rPr>
          <w:rFonts w:ascii="宋体"/>
          <w:sz w:val="24"/>
        </w:rPr>
      </w:pPr>
      <w:r>
        <w:rPr>
          <w:rFonts w:ascii="宋体" w:hAnsi="宋体"/>
          <w:sz w:val="24"/>
        </w:rPr>
        <w:t>3</w:t>
      </w:r>
      <w:r>
        <w:rPr>
          <w:rFonts w:hint="eastAsia" w:ascii="宋体" w:hAnsi="宋体"/>
          <w:sz w:val="24"/>
        </w:rPr>
        <w:t>）在服务采购项目中，服务由中小企业承接，即提供服务的人员为中小企业依照《中华人民共和国民法典》订立劳动合同的从业人员。</w:t>
      </w:r>
    </w:p>
    <w:p>
      <w:pPr>
        <w:spacing w:line="360" w:lineRule="auto"/>
        <w:ind w:firstLine="480" w:firstLineChars="200"/>
        <w:rPr>
          <w:rFonts w:ascii="宋体"/>
          <w:sz w:val="24"/>
        </w:rPr>
      </w:pPr>
      <w:r>
        <w:rPr>
          <w:rFonts w:hint="eastAsia" w:ascii="宋体" w:hAnsi="宋体"/>
          <w:sz w:val="24"/>
        </w:rPr>
        <w:t>在货物采购项目中，供应商提供的货物既有中小企业制造货物，也有大型企业制造货物的，不享受本办法规定的中小企业扶持政策。</w:t>
      </w:r>
    </w:p>
    <w:p>
      <w:pPr>
        <w:spacing w:line="360" w:lineRule="auto"/>
        <w:ind w:firstLine="480" w:firstLineChars="200"/>
        <w:rPr>
          <w:rFonts w:ascii="宋体"/>
          <w:sz w:val="24"/>
        </w:rPr>
      </w:pPr>
      <w:r>
        <w:rPr>
          <w:rFonts w:hint="eastAsia" w:ascii="宋体" w:hAnsi="宋体"/>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sz w:val="24"/>
        </w:rPr>
      </w:pPr>
      <w:r>
        <w:rPr>
          <w:rFonts w:hint="eastAsia" w:ascii="宋体" w:hAnsi="宋体"/>
          <w:sz w:val="24"/>
        </w:rPr>
        <w:t>中小企业参加政府采购活动，应当出具本办法规定的《中小企业声明函》（附</w:t>
      </w:r>
      <w:r>
        <w:rPr>
          <w:rFonts w:ascii="宋体" w:hAnsi="宋体"/>
          <w:sz w:val="24"/>
        </w:rPr>
        <w:t>1</w:t>
      </w:r>
      <w:r>
        <w:rPr>
          <w:rFonts w:hint="eastAsia" w:ascii="宋体" w:hAnsi="宋体"/>
          <w:sz w:val="24"/>
        </w:rPr>
        <w:t>），否则不得享受相关中小企业扶持政策。任何单位和个人不得要求供应商提供《中小企业声明函》之外的中小企业身份证明文件。</w:t>
      </w:r>
    </w:p>
    <w:p>
      <w:pPr>
        <w:spacing w:line="360" w:lineRule="auto"/>
        <w:ind w:firstLine="480" w:firstLineChars="200"/>
        <w:rPr>
          <w:rFonts w:ascii="宋体"/>
          <w:sz w:val="24"/>
        </w:rPr>
      </w:pPr>
      <w:r>
        <w:rPr>
          <w:rFonts w:ascii="宋体" w:hAnsi="宋体"/>
          <w:sz w:val="24"/>
        </w:rPr>
        <w:t>4.7</w:t>
      </w:r>
      <w:r>
        <w:rPr>
          <w:rFonts w:hint="eastAsia" w:ascii="宋体" w:hAnsi="宋体"/>
          <w:sz w:val="24"/>
        </w:rPr>
        <w:t>根据财库〔</w:t>
      </w:r>
      <w:r>
        <w:rPr>
          <w:rFonts w:ascii="宋体" w:hAnsi="宋体"/>
          <w:sz w:val="24"/>
        </w:rPr>
        <w:t>2014</w:t>
      </w:r>
      <w:r>
        <w:rPr>
          <w:rFonts w:hint="eastAsia" w:ascii="宋体" w:hAnsi="宋体"/>
          <w:sz w:val="24"/>
        </w:rPr>
        <w:t>〕</w:t>
      </w:r>
      <w:r>
        <w:rPr>
          <w:rFonts w:ascii="宋体" w:hAnsi="宋体"/>
          <w:sz w:val="24"/>
        </w:rPr>
        <w:t>68</w:t>
      </w:r>
      <w:r>
        <w:rPr>
          <w:rFonts w:hint="eastAsia" w:ascii="宋体" w:hAnsi="宋体"/>
          <w:sz w:val="24"/>
        </w:rPr>
        <w:t>号《财政部司法部关于政府采购支持监狱企业发展有关问题的通知》，监狱企业视同小微企业。监狱企业是指由司法部认定的为罪犯、戒毒</w:t>
      </w:r>
      <w:r>
        <w:rPr>
          <w:rFonts w:hint="eastAsia"/>
          <w:sz w:val="24"/>
        </w:rPr>
        <w:t>人员提供生产项目和劳动对象，且全部产权属于司法部监狱管理局、戒毒管理局、直</w:t>
      </w:r>
      <w:r>
        <w:rPr>
          <w:rFonts w:hint="eastAsia" w:ascii="宋体" w:hAnsi="宋体"/>
          <w:sz w:val="24"/>
        </w:rPr>
        <w:t>属煤矿管理局，各省、自治区、直辖市监狱管理局、戒毒管理局，各地</w:t>
      </w:r>
      <w:r>
        <w:rPr>
          <w:rFonts w:ascii="宋体" w:hAnsi="宋体"/>
          <w:sz w:val="24"/>
        </w:rPr>
        <w:t>(</w:t>
      </w:r>
      <w:r>
        <w:rPr>
          <w:rFonts w:hint="eastAsia" w:ascii="宋体" w:hAnsi="宋体"/>
          <w:sz w:val="24"/>
        </w:rPr>
        <w:t>设区的市</w:t>
      </w:r>
      <w:r>
        <w:rPr>
          <w:rFonts w:ascii="宋体" w:hAnsi="宋体"/>
          <w:sz w:val="24"/>
        </w:rPr>
        <w:t>)</w:t>
      </w:r>
      <w:r>
        <w:rPr>
          <w:rFonts w:hint="eastAsia" w:ascii="宋体" w:hAnsi="宋体"/>
          <w:sz w:val="24"/>
        </w:rPr>
        <w:t>监狱、强制隔离戒毒所、戒毒康复所，以及新疆生产建设兵团监狱管理局、戒毒管理局的企业。监狱企业投标时，提供由省级以上监狱管理局、戒毒管理局</w:t>
      </w:r>
      <w:r>
        <w:rPr>
          <w:rFonts w:ascii="宋体" w:hAnsi="宋体"/>
          <w:sz w:val="24"/>
        </w:rPr>
        <w:t>(</w:t>
      </w:r>
      <w:r>
        <w:rPr>
          <w:rFonts w:hint="eastAsia" w:ascii="宋体" w:hAnsi="宋体"/>
          <w:sz w:val="24"/>
        </w:rPr>
        <w:t>含新疆生产建设兵团</w:t>
      </w:r>
      <w:r>
        <w:rPr>
          <w:rFonts w:ascii="宋体" w:hAnsi="宋体"/>
          <w:sz w:val="24"/>
        </w:rPr>
        <w:t>)</w:t>
      </w:r>
      <w:r>
        <w:rPr>
          <w:rFonts w:hint="eastAsia" w:ascii="宋体" w:hAnsi="宋体"/>
          <w:sz w:val="24"/>
        </w:rPr>
        <w:t>出具的属于监狱企业的证明文件，不再提供《中小微企业声明函》。</w:t>
      </w:r>
    </w:p>
    <w:p>
      <w:pPr>
        <w:spacing w:line="360" w:lineRule="auto"/>
        <w:ind w:firstLine="480" w:firstLineChars="200"/>
        <w:rPr>
          <w:rFonts w:ascii="宋体"/>
          <w:sz w:val="24"/>
        </w:rPr>
      </w:pPr>
      <w:r>
        <w:rPr>
          <w:rFonts w:ascii="宋体" w:hAnsi="宋体"/>
          <w:sz w:val="24"/>
        </w:rPr>
        <w:t xml:space="preserve">4.8 </w:t>
      </w:r>
      <w:r>
        <w:rPr>
          <w:rFonts w:hint="eastAsia" w:ascii="宋体" w:hAnsi="宋体"/>
          <w:sz w:val="24"/>
        </w:rPr>
        <w:t>根据财库〔</w:t>
      </w:r>
      <w:r>
        <w:rPr>
          <w:rFonts w:ascii="宋体" w:hAnsi="宋体"/>
          <w:sz w:val="24"/>
        </w:rPr>
        <w:t>2017</w:t>
      </w:r>
      <w:r>
        <w:rPr>
          <w:rFonts w:hint="eastAsia" w:ascii="宋体" w:hAnsi="宋体"/>
          <w:sz w:val="24"/>
        </w:rPr>
        <w:t>〕</w:t>
      </w:r>
      <w:r>
        <w:rPr>
          <w:rFonts w:ascii="宋体" w:hAnsi="宋体"/>
          <w:sz w:val="24"/>
        </w:rPr>
        <w:t>141</w:t>
      </w:r>
      <w:r>
        <w:rPr>
          <w:rFonts w:hint="eastAsia" w:ascii="宋体" w:hAnsi="宋体"/>
          <w:sz w:val="24"/>
        </w:rPr>
        <w:t>号《财政部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spacing w:line="360" w:lineRule="auto"/>
        <w:ind w:firstLine="480" w:firstLineChars="200"/>
        <w:rPr>
          <w:rFonts w:ascii="宋体" w:hAnsi="宋体"/>
          <w:sz w:val="24"/>
        </w:rPr>
      </w:pPr>
      <w:r>
        <w:rPr>
          <w:rFonts w:hint="eastAsia" w:ascii="宋体" w:hAnsi="宋体"/>
          <w:sz w:val="24"/>
        </w:rPr>
        <w:t>对于非专门面向中小微企业采购的项目，依照财库（2022）19号“关于进一步加大政府采购支持中小企业力度的通知”要求，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具体扣除比例详见邀请函)，用扣除后的价格参加评审。采购人根据采购标的相关行业平均利润率、市场竞争状况等，在本办法规定的幅度内确定。</w:t>
      </w:r>
    </w:p>
    <w:p>
      <w:pPr>
        <w:spacing w:line="360" w:lineRule="auto"/>
        <w:ind w:firstLine="480" w:firstLineChars="200"/>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）中型企业不享受以上优惠；</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）小型、微型企业提供中型企业制造的货物的，视同为中型企业。</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）小型和微型企业产品包括货物及其提供的服务与工程，无法认定小型和微型企业的，不享受价格扣除。</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）监狱企业视同小微企业，监狱企业投标的提供由省级以上监狱管理局、戒毒管理局</w:t>
      </w:r>
      <w:r>
        <w:rPr>
          <w:rFonts w:ascii="宋体" w:hAnsi="宋体"/>
          <w:sz w:val="24"/>
        </w:rPr>
        <w:t>(</w:t>
      </w:r>
      <w:r>
        <w:rPr>
          <w:rFonts w:hint="eastAsia" w:ascii="宋体" w:hAnsi="宋体"/>
          <w:sz w:val="24"/>
        </w:rPr>
        <w:t>含新疆生产建设兵团</w:t>
      </w:r>
      <w:r>
        <w:rPr>
          <w:rFonts w:ascii="宋体" w:hAnsi="宋体"/>
          <w:sz w:val="24"/>
        </w:rPr>
        <w:t>)</w:t>
      </w:r>
      <w:r>
        <w:rPr>
          <w:rFonts w:hint="eastAsia" w:ascii="宋体" w:hAnsi="宋体"/>
          <w:sz w:val="24"/>
        </w:rPr>
        <w:t>出具的属于监狱企业的证明文件，不再提供《中小微企业声明函》。</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）残疾人福利性单位视同小型、微型企业，残疾人福利性单位属于小型、微型企业的，不重复享受政策。符合条件的残疾人福利性单位在参加政府采购活动时，应当提供《残疾人福利性单位声明函》。</w:t>
      </w:r>
    </w:p>
    <w:p>
      <w:pPr>
        <w:spacing w:line="360" w:lineRule="auto"/>
        <w:ind w:firstLine="480" w:firstLineChars="200"/>
        <w:rPr>
          <w:sz w:val="24"/>
        </w:rPr>
      </w:pPr>
      <w:r>
        <w:rPr>
          <w:rFonts w:ascii="宋体" w:hAnsi="宋体"/>
          <w:sz w:val="24"/>
        </w:rPr>
        <w:t>4.9</w:t>
      </w: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spacing w:line="360" w:lineRule="auto"/>
        <w:ind w:firstLine="480" w:firstLineChars="200"/>
        <w:rPr>
          <w:sz w:val="24"/>
        </w:rPr>
      </w:pPr>
      <w:r>
        <w:rPr>
          <w:rFonts w:hint="eastAsia"/>
          <w:sz w:val="24"/>
        </w:rPr>
        <w:t>4.1</w:t>
      </w:r>
      <w:r>
        <w:rPr>
          <w:rFonts w:hint="eastAsia"/>
          <w:sz w:val="24"/>
          <w:lang w:val="en-US" w:eastAsia="zh-CN"/>
        </w:rPr>
        <w:t>0</w:t>
      </w:r>
      <w:r>
        <w:rPr>
          <w:rFonts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spacing w:line="360" w:lineRule="auto"/>
        <w:ind w:firstLine="480" w:firstLineChars="200"/>
        <w:rPr>
          <w:sz w:val="24"/>
        </w:rPr>
      </w:pPr>
      <w:r>
        <w:rPr>
          <w:rFonts w:hint="eastAsia"/>
          <w:sz w:val="24"/>
        </w:rPr>
        <w:t>4.1</w:t>
      </w:r>
      <w:r>
        <w:rPr>
          <w:rFonts w:hint="eastAsia"/>
          <w:sz w:val="24"/>
          <w:lang w:val="en-US" w:eastAsia="zh-CN"/>
        </w:rPr>
        <w:t>1</w:t>
      </w:r>
      <w:r>
        <w:rPr>
          <w:rFonts w:hint="eastAsia"/>
          <w:sz w:val="24"/>
        </w:rPr>
        <w:t>所投产品属于《关于调整信息安全产品强制性认证实施要求的公告》（2009 年第33 号）范围的，采购经国家认证的信息安全产品。关于信息安全相关规定依据《关于信息安全产品实施政府采购的通知》（财库〔2010〕48 号）。</w:t>
      </w:r>
    </w:p>
    <w:p>
      <w:pPr>
        <w:spacing w:line="360" w:lineRule="auto"/>
        <w:ind w:firstLine="480" w:firstLineChars="200"/>
        <w:rPr>
          <w:rFonts w:ascii="宋体" w:hAnsi="宋体"/>
          <w:sz w:val="24"/>
        </w:rPr>
      </w:pPr>
      <w:r>
        <w:rPr>
          <w:rFonts w:hint="eastAsia"/>
          <w:sz w:val="24"/>
        </w:rPr>
        <w:t>4.1</w:t>
      </w:r>
      <w:r>
        <w:rPr>
          <w:rFonts w:hint="eastAsia"/>
          <w:sz w:val="24"/>
          <w:lang w:val="en-US" w:eastAsia="zh-CN"/>
        </w:rPr>
        <w:t>2</w:t>
      </w:r>
      <w:r>
        <w:rPr>
          <w:rFonts w:hint="eastAsia"/>
          <w:sz w:val="24"/>
        </w:rPr>
        <w:t>根据河北省财政厅关于印发《河北省2022年政府采购领域优化营商环境工作实施方案》的通知（冀财采〔2022〕6号），</w:t>
      </w:r>
      <w:r>
        <w:rPr>
          <w:rFonts w:hint="eastAsia" w:ascii="宋体" w:hAnsi="宋体"/>
          <w:sz w:val="24"/>
        </w:rPr>
        <w:t>加大政府采购政策的落实，持续推进政府采购“信用+承诺”制，对专门面向中小微企业的政府采购项目，采购人、采购代理机构在采购文件和采购公告中不再要求供应商提供相关财务状况、缴纳税收和社会保障资金等证明材料，改为承诺函形式，以降低政府采购供应商交易成本。承诺函应随中标、成交公告一并公示，对发现供应商承诺函不实的，属于提供虚假材料谋取中标、成交，依照《中华人民共和国政府采购法》等国家有关规定追究法律责任。2.健全企业重整期间信用修复机制。对人民法院裁定批准重整计划的破产企业，有及时在“信用中国”网站、国家企业信用信息公示系统、金融信用信息基础数据库中申请添加相关企业重整情况信息的，且符合《中华人民共和国政府采购法》第二十二条规定的，应允许其参与政府采购项目，并在采购文件中列明。</w:t>
      </w:r>
    </w:p>
    <w:p>
      <w:pPr>
        <w:spacing w:line="360" w:lineRule="auto"/>
        <w:ind w:firstLine="480" w:firstLineChars="200"/>
        <w:rPr>
          <w:rFonts w:ascii="宋体" w:hAnsi="宋体"/>
          <w:sz w:val="24"/>
        </w:rPr>
      </w:pPr>
      <w:r>
        <w:rPr>
          <w:rFonts w:hint="eastAsia" w:ascii="宋体" w:hAnsi="宋体"/>
          <w:sz w:val="24"/>
        </w:rPr>
        <w:t>政务部门:是指中共中央、全国人大、国务院、全国政协、最高法院、最高检察院及中央和国家机关各部门，各级地方党委、人大、政府、政协、法院、检察院及其直属各部门（单位）。</w:t>
      </w:r>
    </w:p>
    <w:p>
      <w:pPr>
        <w:pStyle w:val="18"/>
        <w:ind w:firstLine="0" w:firstLineChars="0"/>
        <w:jc w:val="center"/>
        <w:outlineLvl w:val="1"/>
        <w:rPr>
          <w:b/>
          <w:bCs/>
        </w:rPr>
      </w:pPr>
      <w:r>
        <w:rPr>
          <w:rFonts w:hint="eastAsia"/>
          <w:b/>
          <w:bCs/>
        </w:rPr>
        <w:br w:type="page"/>
      </w:r>
      <w:bookmarkStart w:id="18" w:name="_Toc31075"/>
      <w:bookmarkStart w:id="19" w:name="_Toc20733"/>
      <w:bookmarkStart w:id="20" w:name="_Toc61"/>
      <w:r>
        <w:rPr>
          <w:rFonts w:hint="eastAsia"/>
          <w:b/>
          <w:bCs/>
        </w:rPr>
        <w:t>Ｂ 谈判文件说明</w:t>
      </w:r>
      <w:bookmarkEnd w:id="18"/>
      <w:bookmarkEnd w:id="19"/>
      <w:bookmarkEnd w:id="20"/>
    </w:p>
    <w:p>
      <w:pPr>
        <w:spacing w:before="78" w:beforeLines="25" w:line="360" w:lineRule="auto"/>
        <w:rPr>
          <w:rFonts w:ascii="宋体"/>
          <w:sz w:val="24"/>
        </w:rPr>
      </w:pPr>
      <w:r>
        <w:rPr>
          <w:rFonts w:ascii="宋体" w:hAnsi="宋体"/>
          <w:sz w:val="24"/>
        </w:rPr>
        <w:t xml:space="preserve">5. </w:t>
      </w:r>
      <w:r>
        <w:rPr>
          <w:rFonts w:hint="eastAsia" w:ascii="宋体" w:hAnsi="宋体"/>
          <w:sz w:val="24"/>
        </w:rPr>
        <w:t>“谈判文件”的构成</w:t>
      </w:r>
    </w:p>
    <w:p>
      <w:pPr>
        <w:spacing w:before="78" w:beforeLines="25" w:line="360" w:lineRule="auto"/>
        <w:ind w:firstLine="480" w:firstLineChars="200"/>
        <w:rPr>
          <w:rFonts w:ascii="宋体"/>
          <w:sz w:val="24"/>
        </w:rPr>
      </w:pPr>
      <w:r>
        <w:rPr>
          <w:rFonts w:ascii="宋体" w:hAnsi="宋体"/>
          <w:sz w:val="24"/>
        </w:rPr>
        <w:t>5.1</w:t>
      </w:r>
      <w:r>
        <w:rPr>
          <w:rFonts w:hint="eastAsia" w:ascii="宋体" w:hAnsi="宋体"/>
          <w:sz w:val="24"/>
        </w:rPr>
        <w:t>“谈判文件”是用以阐明所需货物及服务的情况，以及谈判程序和相应的合同条款。“谈判文件”由下述部分组成：</w:t>
      </w:r>
    </w:p>
    <w:p>
      <w:pPr>
        <w:spacing w:before="78" w:beforeLines="25" w:line="360" w:lineRule="auto"/>
        <w:ind w:firstLine="480" w:firstLineChars="200"/>
        <w:rPr>
          <w:rFonts w:ascii="宋体"/>
          <w:sz w:val="24"/>
        </w:rPr>
      </w:pPr>
      <w:r>
        <w:rPr>
          <w:rFonts w:ascii="宋体" w:hAnsi="宋体"/>
          <w:sz w:val="24"/>
        </w:rPr>
        <w:t xml:space="preserve">(1) </w:t>
      </w:r>
      <w:r>
        <w:rPr>
          <w:rFonts w:hint="eastAsia" w:ascii="宋体" w:hAnsi="宋体"/>
          <w:sz w:val="24"/>
        </w:rPr>
        <w:t>邀请函</w:t>
      </w:r>
    </w:p>
    <w:p>
      <w:pPr>
        <w:spacing w:before="78" w:beforeLines="25" w:line="360" w:lineRule="auto"/>
        <w:ind w:firstLine="480" w:firstLineChars="200"/>
        <w:rPr>
          <w:rFonts w:ascii="宋体"/>
          <w:sz w:val="24"/>
        </w:rPr>
      </w:pPr>
      <w:r>
        <w:rPr>
          <w:rFonts w:ascii="宋体" w:hAnsi="宋体"/>
          <w:sz w:val="24"/>
        </w:rPr>
        <w:t xml:space="preserve">(2) </w:t>
      </w:r>
      <w:r>
        <w:rPr>
          <w:rFonts w:hint="eastAsia" w:ascii="宋体" w:hAnsi="宋体"/>
          <w:sz w:val="24"/>
        </w:rPr>
        <w:t>投标须知；</w:t>
      </w:r>
    </w:p>
    <w:p>
      <w:pPr>
        <w:spacing w:before="78" w:beforeLines="25" w:line="360" w:lineRule="auto"/>
        <w:ind w:firstLine="480" w:firstLineChars="200"/>
        <w:rPr>
          <w:rFonts w:ascii="宋体"/>
          <w:sz w:val="24"/>
        </w:rPr>
      </w:pPr>
      <w:r>
        <w:rPr>
          <w:rFonts w:ascii="宋体" w:hAnsi="宋体"/>
          <w:sz w:val="24"/>
        </w:rPr>
        <w:t xml:space="preserve">(3) </w:t>
      </w:r>
      <w:r>
        <w:rPr>
          <w:rFonts w:hint="eastAsia" w:ascii="宋体" w:hAnsi="宋体"/>
          <w:sz w:val="24"/>
        </w:rPr>
        <w:t>合同条款；</w:t>
      </w:r>
    </w:p>
    <w:p>
      <w:pPr>
        <w:spacing w:before="78" w:beforeLines="25" w:line="360" w:lineRule="auto"/>
        <w:ind w:firstLine="480" w:firstLineChars="200"/>
        <w:rPr>
          <w:rFonts w:ascii="宋体"/>
          <w:sz w:val="24"/>
        </w:rPr>
      </w:pPr>
      <w:r>
        <w:rPr>
          <w:rFonts w:ascii="宋体" w:hAnsi="宋体"/>
          <w:sz w:val="24"/>
        </w:rPr>
        <w:t xml:space="preserve">(4) </w:t>
      </w:r>
      <w:r>
        <w:rPr>
          <w:rFonts w:hint="eastAsia" w:ascii="宋体" w:hAnsi="宋体"/>
          <w:sz w:val="24"/>
        </w:rPr>
        <w:t>采购项目要求；</w:t>
      </w:r>
    </w:p>
    <w:p>
      <w:pPr>
        <w:spacing w:before="78" w:beforeLines="25" w:line="360" w:lineRule="auto"/>
        <w:ind w:firstLine="480" w:firstLineChars="200"/>
        <w:rPr>
          <w:rFonts w:ascii="宋体"/>
          <w:sz w:val="24"/>
        </w:rPr>
      </w:pPr>
      <w:r>
        <w:rPr>
          <w:rFonts w:ascii="宋体" w:hAnsi="宋体"/>
          <w:sz w:val="24"/>
        </w:rPr>
        <w:t xml:space="preserve">(5) </w:t>
      </w:r>
      <w:r>
        <w:rPr>
          <w:rFonts w:hint="eastAsia" w:ascii="宋体" w:hAnsi="宋体"/>
          <w:sz w:val="24"/>
        </w:rPr>
        <w:t>响应文件格式。</w:t>
      </w:r>
    </w:p>
    <w:p>
      <w:pPr>
        <w:spacing w:line="360" w:lineRule="auto"/>
        <w:jc w:val="left"/>
        <w:rPr>
          <w:rFonts w:ascii="宋体"/>
          <w:sz w:val="24"/>
        </w:rPr>
      </w:pPr>
      <w:r>
        <w:rPr>
          <w:rFonts w:ascii="宋体" w:hAnsi="宋体"/>
          <w:sz w:val="24"/>
        </w:rPr>
        <w:t>6</w:t>
      </w:r>
      <w:r>
        <w:rPr>
          <w:rFonts w:ascii="宋体"/>
          <w:sz w:val="24"/>
        </w:rPr>
        <w:t>.</w:t>
      </w:r>
      <w:r>
        <w:rPr>
          <w:rFonts w:hint="eastAsia" w:ascii="宋体" w:hAnsi="宋体"/>
          <w:sz w:val="24"/>
        </w:rPr>
        <w:t>“谈判文件”的澄清、修改及暂停</w:t>
      </w:r>
    </w:p>
    <w:p>
      <w:pPr>
        <w:spacing w:line="360" w:lineRule="auto"/>
        <w:ind w:firstLine="480" w:firstLineChars="200"/>
        <w:jc w:val="left"/>
        <w:rPr>
          <w:rFonts w:ascii="宋体"/>
          <w:sz w:val="24"/>
        </w:rPr>
      </w:pPr>
      <w:r>
        <w:rPr>
          <w:rFonts w:ascii="宋体" w:hAnsi="宋体"/>
          <w:sz w:val="24"/>
        </w:rPr>
        <w:t>6.1</w:t>
      </w:r>
      <w:r>
        <w:rPr>
          <w:rFonts w:hint="eastAsia" w:ascii="宋体" w:hAnsi="宋体"/>
          <w:sz w:val="24"/>
        </w:rPr>
        <w:t>采购中心可以对已发出的谈判文件进行澄清与修改，该澄清或者修改的内容为谈判文件的组成部分，对谈判双方均具有约束力。澄清或者修改的内容将在已发布本项目采购公告的媒体上发布更正公告，不再逐个电话通知。</w:t>
      </w:r>
    </w:p>
    <w:p>
      <w:pPr>
        <w:spacing w:line="360" w:lineRule="auto"/>
        <w:ind w:firstLine="480" w:firstLineChars="200"/>
        <w:jc w:val="left"/>
        <w:rPr>
          <w:rFonts w:ascii="宋体"/>
          <w:sz w:val="24"/>
        </w:rPr>
      </w:pPr>
      <w:r>
        <w:rPr>
          <w:rFonts w:ascii="宋体" w:hAnsi="宋体"/>
          <w:sz w:val="24"/>
        </w:rPr>
        <w:t>6.2</w:t>
      </w:r>
      <w:r>
        <w:rPr>
          <w:rFonts w:hint="eastAsia" w:ascii="宋体" w:hAnsi="宋体"/>
          <w:sz w:val="24"/>
        </w:rPr>
        <w:t>谈判文件澄清、修改、补充的内容均以最后的更正公告为准。</w:t>
      </w:r>
    </w:p>
    <w:p>
      <w:pPr>
        <w:pStyle w:val="16"/>
        <w:rPr>
          <w:color w:val="auto"/>
        </w:rPr>
      </w:pPr>
    </w:p>
    <w:p>
      <w:pPr>
        <w:spacing w:before="78" w:beforeLines="25" w:line="460" w:lineRule="exact"/>
        <w:ind w:firstLine="601"/>
        <w:jc w:val="center"/>
        <w:outlineLvl w:val="1"/>
        <w:rPr>
          <w:rFonts w:ascii="宋体"/>
          <w:b/>
          <w:bCs/>
          <w:sz w:val="28"/>
        </w:rPr>
      </w:pPr>
      <w:bookmarkStart w:id="21" w:name="_Toc29285"/>
      <w:bookmarkStart w:id="22" w:name="_Toc17272"/>
      <w:bookmarkStart w:id="23" w:name="_Toc18035"/>
      <w:r>
        <w:rPr>
          <w:rFonts w:hint="eastAsia" w:ascii="宋体" w:hAnsi="宋体"/>
          <w:b/>
          <w:bCs/>
          <w:sz w:val="28"/>
        </w:rPr>
        <w:t>Ｃ 响应文件的编写</w:t>
      </w:r>
      <w:bookmarkEnd w:id="21"/>
      <w:bookmarkEnd w:id="22"/>
      <w:bookmarkEnd w:id="23"/>
    </w:p>
    <w:p>
      <w:pPr>
        <w:spacing w:before="78" w:beforeLines="25" w:line="360" w:lineRule="auto"/>
        <w:rPr>
          <w:rFonts w:ascii="宋体"/>
          <w:sz w:val="24"/>
        </w:rPr>
      </w:pPr>
      <w:r>
        <w:rPr>
          <w:rFonts w:ascii="宋体" w:hAnsi="宋体"/>
          <w:sz w:val="24"/>
        </w:rPr>
        <w:t xml:space="preserve">7. </w:t>
      </w:r>
      <w:r>
        <w:rPr>
          <w:rFonts w:hint="eastAsia" w:ascii="宋体" w:hAnsi="宋体"/>
          <w:sz w:val="24"/>
        </w:rPr>
        <w:t>要求</w:t>
      </w:r>
    </w:p>
    <w:p>
      <w:pPr>
        <w:spacing w:line="360" w:lineRule="auto"/>
        <w:ind w:firstLine="480" w:firstLineChars="200"/>
        <w:rPr>
          <w:rFonts w:ascii="宋体"/>
          <w:sz w:val="24"/>
        </w:rPr>
      </w:pPr>
      <w:r>
        <w:rPr>
          <w:rFonts w:ascii="宋体" w:hAnsi="宋体"/>
          <w:sz w:val="24"/>
        </w:rPr>
        <w:t xml:space="preserve">7.1 </w:t>
      </w:r>
      <w:r>
        <w:rPr>
          <w:rFonts w:hint="eastAsia" w:ascii="宋体" w:hAnsi="宋体"/>
          <w:sz w:val="24"/>
        </w:rPr>
        <w:t>供应商应仔细阅读“谈判文件”的所有内容，按“谈判文件”的要求编制“响应文件”，并保证所提供的全部资料的真实性，未实质响应“谈判文件”的“响应文件”按无效处理。</w:t>
      </w:r>
    </w:p>
    <w:p>
      <w:pPr>
        <w:spacing w:line="360" w:lineRule="auto"/>
        <w:rPr>
          <w:rFonts w:ascii="宋体"/>
          <w:sz w:val="24"/>
        </w:rPr>
      </w:pPr>
      <w:r>
        <w:rPr>
          <w:rFonts w:ascii="宋体" w:hAnsi="宋体"/>
          <w:sz w:val="24"/>
        </w:rPr>
        <w:t xml:space="preserve">8. </w:t>
      </w:r>
      <w:r>
        <w:rPr>
          <w:rFonts w:hint="eastAsia" w:ascii="宋体" w:hAnsi="宋体"/>
          <w:sz w:val="24"/>
        </w:rPr>
        <w:t>“响应文件”的组成（详见谈判文件“第五部分响应文件格式”）。</w:t>
      </w:r>
    </w:p>
    <w:p>
      <w:pPr>
        <w:spacing w:line="360" w:lineRule="auto"/>
        <w:rPr>
          <w:rFonts w:ascii="宋体"/>
          <w:sz w:val="24"/>
        </w:rPr>
      </w:pPr>
      <w:r>
        <w:rPr>
          <w:rFonts w:ascii="宋体" w:hAnsi="宋体"/>
          <w:sz w:val="24"/>
        </w:rPr>
        <w:t xml:space="preserve">9. </w:t>
      </w:r>
      <w:r>
        <w:rPr>
          <w:rFonts w:hint="eastAsia" w:ascii="宋体" w:hAnsi="宋体"/>
          <w:sz w:val="24"/>
        </w:rPr>
        <w:t>“响应文件”格式</w:t>
      </w:r>
    </w:p>
    <w:p>
      <w:pPr>
        <w:spacing w:line="360" w:lineRule="auto"/>
        <w:ind w:firstLine="480" w:firstLineChars="200"/>
        <w:rPr>
          <w:rFonts w:ascii="宋体"/>
          <w:sz w:val="24"/>
        </w:rPr>
      </w:pPr>
      <w:r>
        <w:rPr>
          <w:rFonts w:ascii="宋体" w:hAnsi="宋体"/>
          <w:sz w:val="24"/>
        </w:rPr>
        <w:t xml:space="preserve">9.1 </w:t>
      </w:r>
      <w:r>
        <w:rPr>
          <w:rFonts w:hint="eastAsia" w:ascii="宋体" w:hAnsi="宋体"/>
          <w:sz w:val="24"/>
        </w:rPr>
        <w:t>供应商应按“谈判文件”中提供的“响应文件格式”制作响应文件。</w:t>
      </w:r>
    </w:p>
    <w:p>
      <w:pPr>
        <w:spacing w:before="78" w:beforeLines="25" w:line="360" w:lineRule="auto"/>
        <w:ind w:firstLine="480" w:firstLineChars="200"/>
        <w:rPr>
          <w:rFonts w:ascii="宋体"/>
          <w:sz w:val="24"/>
        </w:rPr>
      </w:pPr>
      <w:r>
        <w:rPr>
          <w:rFonts w:ascii="宋体" w:hAnsi="宋体"/>
          <w:sz w:val="24"/>
        </w:rPr>
        <w:t>9.2</w:t>
      </w:r>
      <w:r>
        <w:rPr>
          <w:rFonts w:hint="eastAsia" w:ascii="宋体" w:hAnsi="宋体"/>
          <w:sz w:val="24"/>
        </w:rPr>
        <w:t>响应文件中“开标一览表”、“投标价格表”</w:t>
      </w:r>
      <w:r>
        <w:rPr>
          <w:rFonts w:hint="eastAsia" w:ascii="宋体" w:hAnsi="宋体"/>
          <w:bCs/>
          <w:sz w:val="24"/>
        </w:rPr>
        <w:t>必须标明投标总价大写金额及小写金额，“开标一览表”与响应文件中相应内容不一致的，以开标一览表（报价表</w:t>
      </w:r>
      <w:r>
        <w:rPr>
          <w:rFonts w:ascii="宋体" w:hAnsi="宋体"/>
          <w:bCs/>
          <w:sz w:val="24"/>
        </w:rPr>
        <w:t>)</w:t>
      </w:r>
      <w:r>
        <w:rPr>
          <w:rFonts w:hint="eastAsia" w:ascii="宋体" w:hAnsi="宋体"/>
          <w:bCs/>
          <w:sz w:val="24"/>
        </w:rPr>
        <w:t>为准；大写金额和小写金额不一致的，以大写金</w:t>
      </w:r>
      <w:r>
        <w:rPr>
          <w:rFonts w:hint="eastAsia" w:ascii="宋体" w:hAnsi="宋体"/>
          <w:sz w:val="24"/>
        </w:rPr>
        <w:t>额为准。</w:t>
      </w:r>
    </w:p>
    <w:p>
      <w:pPr>
        <w:spacing w:before="78" w:beforeLines="25" w:line="360" w:lineRule="auto"/>
        <w:rPr>
          <w:rFonts w:ascii="宋体"/>
          <w:sz w:val="24"/>
        </w:rPr>
      </w:pPr>
      <w:r>
        <w:rPr>
          <w:rFonts w:ascii="宋体" w:hAnsi="宋体"/>
          <w:sz w:val="24"/>
        </w:rPr>
        <w:t xml:space="preserve">10. </w:t>
      </w:r>
      <w:r>
        <w:rPr>
          <w:rFonts w:hint="eastAsia" w:ascii="宋体" w:hAnsi="宋体"/>
          <w:sz w:val="24"/>
        </w:rPr>
        <w:t>报价</w:t>
      </w:r>
    </w:p>
    <w:p>
      <w:pPr>
        <w:spacing w:before="78" w:beforeLines="25" w:line="360" w:lineRule="auto"/>
        <w:ind w:firstLine="480" w:firstLineChars="200"/>
        <w:rPr>
          <w:rFonts w:ascii="宋体"/>
          <w:sz w:val="24"/>
        </w:rPr>
      </w:pPr>
      <w:r>
        <w:rPr>
          <w:rFonts w:ascii="宋体" w:hAnsi="宋体"/>
          <w:sz w:val="24"/>
        </w:rPr>
        <w:t xml:space="preserve">10.1 </w:t>
      </w:r>
      <w:r>
        <w:rPr>
          <w:rFonts w:hint="eastAsia" w:ascii="宋体" w:hAnsi="宋体"/>
          <w:sz w:val="24"/>
        </w:rPr>
        <w:t>货物、服务的报价为承德工地价，以人民币为结算单位（元）。</w:t>
      </w:r>
    </w:p>
    <w:p>
      <w:pPr>
        <w:spacing w:before="78" w:beforeLines="25" w:line="360" w:lineRule="auto"/>
        <w:ind w:firstLine="480" w:firstLineChars="200"/>
        <w:rPr>
          <w:rFonts w:ascii="宋体"/>
          <w:sz w:val="24"/>
        </w:rPr>
      </w:pPr>
      <w:r>
        <w:rPr>
          <w:rFonts w:ascii="宋体" w:hAnsi="宋体"/>
          <w:sz w:val="24"/>
        </w:rPr>
        <w:t>10</w:t>
      </w:r>
      <w:r>
        <w:rPr>
          <w:rFonts w:ascii="宋体"/>
          <w:sz w:val="24"/>
        </w:rPr>
        <w:t>.</w:t>
      </w:r>
      <w:r>
        <w:rPr>
          <w:rFonts w:ascii="宋体" w:hAnsi="宋体"/>
          <w:sz w:val="24"/>
        </w:rPr>
        <w:t xml:space="preserve">2 </w:t>
      </w:r>
      <w:r>
        <w:rPr>
          <w:rFonts w:hint="eastAsia" w:ascii="宋体" w:hAnsi="宋体"/>
          <w:sz w:val="24"/>
        </w:rPr>
        <w:t>供应商应在“响应文件”中写明货物的单价和总价。</w:t>
      </w:r>
    </w:p>
    <w:p>
      <w:pPr>
        <w:spacing w:before="78" w:beforeLines="25" w:line="360" w:lineRule="auto"/>
        <w:ind w:firstLine="480" w:firstLineChars="200"/>
        <w:rPr>
          <w:rFonts w:ascii="宋体"/>
          <w:sz w:val="24"/>
        </w:rPr>
      </w:pPr>
      <w:r>
        <w:rPr>
          <w:rFonts w:ascii="宋体" w:hAnsi="宋体"/>
          <w:sz w:val="24"/>
        </w:rPr>
        <w:t>10.3</w:t>
      </w:r>
      <w:r>
        <w:rPr>
          <w:rFonts w:hint="eastAsia" w:ascii="宋体" w:hAnsi="宋体"/>
          <w:sz w:val="24"/>
        </w:rPr>
        <w:t>报价必须是唯一的，不接受有选择的报价。</w:t>
      </w:r>
    </w:p>
    <w:p>
      <w:pPr>
        <w:spacing w:before="78" w:beforeLines="25" w:line="360" w:lineRule="auto"/>
        <w:rPr>
          <w:rFonts w:ascii="宋体"/>
          <w:sz w:val="24"/>
        </w:rPr>
      </w:pPr>
      <w:r>
        <w:rPr>
          <w:rFonts w:ascii="宋体" w:hAnsi="宋体"/>
          <w:sz w:val="24"/>
        </w:rPr>
        <w:t xml:space="preserve">11. </w:t>
      </w:r>
      <w:r>
        <w:rPr>
          <w:rFonts w:hint="eastAsia" w:ascii="宋体" w:hAnsi="宋体"/>
          <w:sz w:val="24"/>
        </w:rPr>
        <w:t>供应商资格的证明文件</w:t>
      </w:r>
    </w:p>
    <w:p>
      <w:pPr>
        <w:spacing w:line="360" w:lineRule="auto"/>
        <w:ind w:firstLine="480" w:firstLineChars="200"/>
        <w:jc w:val="left"/>
        <w:rPr>
          <w:rFonts w:ascii="宋体"/>
          <w:sz w:val="24"/>
        </w:rPr>
      </w:pPr>
      <w:r>
        <w:rPr>
          <w:rFonts w:ascii="宋体" w:hAnsi="宋体"/>
          <w:sz w:val="24"/>
        </w:rPr>
        <w:t xml:space="preserve">11.1 </w:t>
      </w:r>
      <w:r>
        <w:rPr>
          <w:rFonts w:hint="eastAsia" w:ascii="宋体" w:hAnsi="宋体"/>
          <w:sz w:val="24"/>
        </w:rPr>
        <w:t>供应商应提交证明其有资格进行投标和有能力履行合同的证明文件，作为响应文件的组成部分。</w:t>
      </w:r>
    </w:p>
    <w:p>
      <w:pPr>
        <w:spacing w:before="78" w:beforeLines="25" w:line="360" w:lineRule="auto"/>
        <w:ind w:firstLine="480" w:firstLineChars="200"/>
        <w:rPr>
          <w:rFonts w:ascii="宋体"/>
          <w:sz w:val="24"/>
        </w:rPr>
      </w:pPr>
      <w:r>
        <w:rPr>
          <w:rFonts w:hint="eastAsia" w:ascii="宋体" w:hAnsi="宋体"/>
          <w:sz w:val="24"/>
        </w:rPr>
        <w:t>供应商应有能力履行“谈判文件”中合同条款和技术要求所规定的由卖方履行的运输、安装调试、人员培训、售后服务和其它技术服务的义务。</w:t>
      </w:r>
    </w:p>
    <w:p>
      <w:pPr>
        <w:spacing w:before="78" w:beforeLines="25" w:line="360" w:lineRule="auto"/>
        <w:rPr>
          <w:rFonts w:ascii="宋体"/>
          <w:sz w:val="24"/>
        </w:rPr>
      </w:pPr>
      <w:r>
        <w:rPr>
          <w:rFonts w:ascii="宋体" w:hAnsi="宋体"/>
          <w:sz w:val="24"/>
        </w:rPr>
        <w:t xml:space="preserve">12. </w:t>
      </w:r>
      <w:r>
        <w:rPr>
          <w:rFonts w:hint="eastAsia" w:ascii="宋体" w:hAnsi="宋体"/>
          <w:sz w:val="24"/>
        </w:rPr>
        <w:t>保证金</w:t>
      </w:r>
    </w:p>
    <w:p>
      <w:pPr>
        <w:spacing w:before="78" w:beforeLines="25" w:line="360" w:lineRule="auto"/>
        <w:ind w:firstLine="480" w:firstLineChars="200"/>
        <w:rPr>
          <w:rFonts w:hint="eastAsia" w:ascii="宋体" w:eastAsia="宋体"/>
          <w:sz w:val="24"/>
          <w:lang w:eastAsia="zh-CN"/>
        </w:rPr>
      </w:pPr>
      <w:r>
        <w:rPr>
          <w:rFonts w:ascii="宋体" w:hAnsi="宋体"/>
          <w:sz w:val="24"/>
        </w:rPr>
        <w:t>12.1</w:t>
      </w:r>
      <w:r>
        <w:rPr>
          <w:rFonts w:hint="eastAsia" w:ascii="宋体" w:hAnsi="宋体"/>
          <w:sz w:val="24"/>
          <w:lang w:eastAsia="zh-CN"/>
        </w:rPr>
        <w:t>本项目不收取保证金。</w:t>
      </w:r>
    </w:p>
    <w:p>
      <w:pPr>
        <w:spacing w:line="360" w:lineRule="auto"/>
        <w:rPr>
          <w:rFonts w:ascii="宋体"/>
          <w:sz w:val="24"/>
        </w:rPr>
      </w:pPr>
      <w:r>
        <w:rPr>
          <w:rFonts w:ascii="宋体" w:hAnsi="宋体"/>
          <w:sz w:val="24"/>
        </w:rPr>
        <w:t xml:space="preserve">13. </w:t>
      </w:r>
      <w:r>
        <w:rPr>
          <w:rFonts w:hint="eastAsia" w:ascii="宋体" w:hAnsi="宋体"/>
          <w:sz w:val="24"/>
        </w:rPr>
        <w:t>投标有效期</w:t>
      </w:r>
    </w:p>
    <w:p>
      <w:pPr>
        <w:spacing w:line="360" w:lineRule="auto"/>
        <w:ind w:firstLine="480" w:firstLineChars="200"/>
        <w:rPr>
          <w:rFonts w:ascii="宋体"/>
          <w:sz w:val="24"/>
        </w:rPr>
      </w:pPr>
      <w:r>
        <w:rPr>
          <w:rFonts w:ascii="宋体" w:hAnsi="宋体"/>
          <w:sz w:val="24"/>
        </w:rPr>
        <w:t xml:space="preserve">13.1 </w:t>
      </w:r>
      <w:r>
        <w:rPr>
          <w:rFonts w:hint="eastAsia" w:ascii="宋体" w:hAnsi="宋体"/>
          <w:sz w:val="24"/>
        </w:rPr>
        <w:t>从开标之日起，投标有效期为</w:t>
      </w:r>
      <w:r>
        <w:rPr>
          <w:rFonts w:ascii="宋体" w:hAnsi="宋体"/>
          <w:sz w:val="24"/>
        </w:rPr>
        <w:t>60</w:t>
      </w:r>
      <w:r>
        <w:rPr>
          <w:rFonts w:hint="eastAsia" w:ascii="宋体" w:hAnsi="宋体"/>
          <w:sz w:val="24"/>
        </w:rPr>
        <w:t>天。</w:t>
      </w:r>
    </w:p>
    <w:p>
      <w:pPr>
        <w:spacing w:before="78" w:beforeLines="25" w:line="360" w:lineRule="auto"/>
        <w:rPr>
          <w:rFonts w:ascii="宋体"/>
          <w:sz w:val="24"/>
        </w:rPr>
      </w:pPr>
      <w:r>
        <w:rPr>
          <w:rFonts w:ascii="宋体" w:hAnsi="宋体"/>
          <w:sz w:val="24"/>
        </w:rPr>
        <w:t xml:space="preserve">14. </w:t>
      </w:r>
      <w:r>
        <w:rPr>
          <w:rFonts w:hint="eastAsia" w:ascii="宋体" w:hAnsi="宋体"/>
          <w:sz w:val="24"/>
        </w:rPr>
        <w:t>“响应文件”的其它规定</w:t>
      </w:r>
    </w:p>
    <w:p>
      <w:pPr>
        <w:spacing w:before="78" w:beforeLines="25" w:line="360" w:lineRule="auto"/>
        <w:ind w:firstLine="480" w:firstLineChars="200"/>
        <w:rPr>
          <w:rFonts w:ascii="宋体"/>
          <w:bCs/>
          <w:sz w:val="24"/>
        </w:rPr>
      </w:pPr>
      <w:r>
        <w:rPr>
          <w:rFonts w:hint="eastAsia" w:ascii="宋体" w:hAnsi="宋体"/>
          <w:sz w:val="24"/>
        </w:rPr>
        <w:t>电报、电话、传真形式的投标概不接受。</w:t>
      </w:r>
    </w:p>
    <w:p>
      <w:pPr>
        <w:spacing w:line="360" w:lineRule="auto"/>
        <w:ind w:firstLine="482" w:firstLineChars="200"/>
        <w:jc w:val="center"/>
        <w:rPr>
          <w:rFonts w:ascii="宋体" w:hAnsi="宋体"/>
          <w:b/>
          <w:bCs/>
          <w:sz w:val="24"/>
        </w:rPr>
      </w:pPr>
    </w:p>
    <w:p>
      <w:pPr>
        <w:spacing w:line="360" w:lineRule="auto"/>
        <w:ind w:firstLine="562" w:firstLineChars="200"/>
        <w:jc w:val="center"/>
        <w:outlineLvl w:val="1"/>
        <w:rPr>
          <w:rFonts w:ascii="宋体"/>
          <w:b/>
          <w:bCs/>
          <w:sz w:val="28"/>
        </w:rPr>
      </w:pPr>
      <w:bookmarkStart w:id="24" w:name="_Toc12308"/>
      <w:bookmarkStart w:id="25" w:name="_Toc9226"/>
      <w:bookmarkStart w:id="26" w:name="_Toc407"/>
      <w:r>
        <w:rPr>
          <w:rFonts w:hint="eastAsia" w:ascii="宋体" w:hAnsi="宋体"/>
          <w:b/>
          <w:bCs/>
          <w:sz w:val="28"/>
        </w:rPr>
        <w:t>Ｄ 响应文件的提交</w:t>
      </w:r>
      <w:bookmarkEnd w:id="24"/>
      <w:bookmarkEnd w:id="25"/>
      <w:bookmarkEnd w:id="26"/>
    </w:p>
    <w:p>
      <w:pPr>
        <w:spacing w:line="360" w:lineRule="auto"/>
        <w:rPr>
          <w:rFonts w:ascii="宋体"/>
          <w:sz w:val="24"/>
        </w:rPr>
      </w:pPr>
      <w:r>
        <w:rPr>
          <w:rFonts w:ascii="宋体" w:hAnsi="宋体"/>
          <w:sz w:val="24"/>
        </w:rPr>
        <w:t xml:space="preserve">15. </w:t>
      </w:r>
      <w:r>
        <w:rPr>
          <w:rFonts w:hint="eastAsia" w:ascii="宋体" w:hAnsi="宋体"/>
          <w:sz w:val="24"/>
        </w:rPr>
        <w:t>提交“响应文件”的时间、地点</w:t>
      </w:r>
    </w:p>
    <w:p>
      <w:pPr>
        <w:spacing w:line="360" w:lineRule="auto"/>
        <w:ind w:firstLine="480" w:firstLineChars="200"/>
        <w:rPr>
          <w:rFonts w:ascii="宋体"/>
          <w:sz w:val="24"/>
        </w:rPr>
      </w:pPr>
      <w:r>
        <w:rPr>
          <w:rFonts w:hint="eastAsia" w:ascii="宋体" w:hAnsi="宋体"/>
          <w:sz w:val="24"/>
        </w:rPr>
        <w:t>投标人应在投标截止时间前上传电子投标文件（</w:t>
      </w:r>
      <w:r>
        <w:rPr>
          <w:rFonts w:ascii="宋体" w:hAnsi="宋体"/>
          <w:sz w:val="24"/>
        </w:rPr>
        <w:t>*.TBJ</w:t>
      </w:r>
      <w:r>
        <w:rPr>
          <w:rFonts w:hint="eastAsia" w:ascii="宋体" w:hAnsi="宋体"/>
          <w:sz w:val="24"/>
        </w:rPr>
        <w:t>）到电子交易系统的指定位置。上传完成后必须点击“确认签名”。请投标人在上传时认真检查上传响应文件是否完整、正确。</w:t>
      </w:r>
    </w:p>
    <w:p>
      <w:pPr>
        <w:spacing w:line="360" w:lineRule="auto"/>
        <w:rPr>
          <w:rFonts w:ascii="宋体"/>
          <w:sz w:val="24"/>
        </w:rPr>
      </w:pPr>
      <w:r>
        <w:rPr>
          <w:rFonts w:ascii="宋体" w:hAnsi="宋体"/>
          <w:sz w:val="24"/>
        </w:rPr>
        <w:t xml:space="preserve">16. </w:t>
      </w:r>
      <w:r>
        <w:rPr>
          <w:rFonts w:hint="eastAsia" w:ascii="宋体" w:hAnsi="宋体"/>
          <w:sz w:val="24"/>
        </w:rPr>
        <w:t>“响应文件”的技术支持</w:t>
      </w:r>
    </w:p>
    <w:p>
      <w:pPr>
        <w:spacing w:line="360" w:lineRule="auto"/>
        <w:ind w:firstLine="480" w:firstLineChars="200"/>
        <w:rPr>
          <w:rFonts w:ascii="宋体"/>
          <w:sz w:val="24"/>
        </w:rPr>
      </w:pPr>
      <w:r>
        <w:rPr>
          <w:rFonts w:hint="eastAsia" w:ascii="宋体" w:hAnsi="宋体"/>
          <w:sz w:val="24"/>
        </w:rPr>
        <w:t>如遇到无法上传电子响应文件等系统技术问题，请在工作时间电话联系：</w:t>
      </w:r>
      <w:r>
        <w:rPr>
          <w:rFonts w:ascii="宋体" w:hAnsi="宋体"/>
          <w:sz w:val="24"/>
        </w:rPr>
        <w:t>010-86483801</w:t>
      </w:r>
      <w:r>
        <w:rPr>
          <w:rFonts w:hint="eastAsia" w:ascii="宋体" w:hAnsi="宋体"/>
          <w:sz w:val="24"/>
        </w:rPr>
        <w:t>。</w:t>
      </w:r>
    </w:p>
    <w:p>
      <w:pPr>
        <w:spacing w:line="360" w:lineRule="auto"/>
        <w:rPr>
          <w:rFonts w:ascii="宋体"/>
          <w:sz w:val="24"/>
        </w:rPr>
      </w:pPr>
      <w:r>
        <w:rPr>
          <w:rFonts w:ascii="宋体" w:hAnsi="宋体"/>
          <w:sz w:val="24"/>
        </w:rPr>
        <w:t xml:space="preserve">17. </w:t>
      </w:r>
      <w:r>
        <w:rPr>
          <w:rFonts w:hint="eastAsia" w:ascii="宋体" w:hAnsi="宋体"/>
          <w:sz w:val="24"/>
        </w:rPr>
        <w:t>迟交的“响应文件”</w:t>
      </w:r>
    </w:p>
    <w:p>
      <w:pPr>
        <w:spacing w:line="360" w:lineRule="auto"/>
        <w:ind w:firstLine="480" w:firstLineChars="200"/>
        <w:rPr>
          <w:rFonts w:ascii="宋体"/>
          <w:sz w:val="24"/>
        </w:rPr>
      </w:pPr>
      <w:r>
        <w:rPr>
          <w:rFonts w:hint="eastAsia" w:ascii="宋体" w:hAnsi="宋体"/>
          <w:sz w:val="24"/>
        </w:rPr>
        <w:t>采购中心将拒绝接收在投标截止时间后递交的“响应文件”。</w:t>
      </w:r>
    </w:p>
    <w:p>
      <w:pPr>
        <w:spacing w:before="78" w:beforeLines="25" w:line="440" w:lineRule="exact"/>
        <w:jc w:val="center"/>
        <w:outlineLvl w:val="1"/>
        <w:rPr>
          <w:rFonts w:ascii="宋体"/>
          <w:b/>
          <w:sz w:val="28"/>
          <w:szCs w:val="20"/>
        </w:rPr>
      </w:pPr>
      <w:bookmarkStart w:id="27" w:name="_Toc1717"/>
      <w:bookmarkStart w:id="28" w:name="_Toc7265"/>
      <w:bookmarkStart w:id="29" w:name="_Toc4488"/>
      <w:r>
        <w:rPr>
          <w:rFonts w:hint="eastAsia" w:ascii="宋体" w:hAnsi="宋体"/>
          <w:b/>
          <w:sz w:val="28"/>
          <w:szCs w:val="20"/>
        </w:rPr>
        <w:t>Ｅ 开标和评标</w:t>
      </w:r>
      <w:bookmarkEnd w:id="27"/>
      <w:bookmarkEnd w:id="28"/>
      <w:bookmarkEnd w:id="29"/>
    </w:p>
    <w:p>
      <w:pPr>
        <w:spacing w:before="78" w:beforeLines="25" w:line="360" w:lineRule="auto"/>
        <w:rPr>
          <w:rFonts w:ascii="宋体"/>
          <w:sz w:val="24"/>
        </w:rPr>
      </w:pPr>
      <w:r>
        <w:rPr>
          <w:rFonts w:ascii="宋体" w:hAnsi="宋体"/>
          <w:sz w:val="24"/>
        </w:rPr>
        <w:t xml:space="preserve">18. </w:t>
      </w:r>
      <w:r>
        <w:rPr>
          <w:rFonts w:hint="eastAsia" w:ascii="宋体" w:hAnsi="宋体"/>
          <w:sz w:val="24"/>
        </w:rPr>
        <w:t>开标</w:t>
      </w:r>
    </w:p>
    <w:p>
      <w:pPr>
        <w:spacing w:before="78" w:beforeLines="25" w:line="360" w:lineRule="auto"/>
        <w:ind w:firstLine="480" w:firstLineChars="200"/>
        <w:rPr>
          <w:rFonts w:ascii="宋体"/>
          <w:sz w:val="24"/>
        </w:rPr>
      </w:pPr>
      <w:r>
        <w:rPr>
          <w:rFonts w:ascii="宋体" w:hAnsi="宋体"/>
          <w:sz w:val="24"/>
        </w:rPr>
        <w:t>18.1</w:t>
      </w:r>
      <w:r>
        <w:rPr>
          <w:rFonts w:hint="eastAsia" w:ascii="宋体" w:hAnsi="宋体"/>
          <w:sz w:val="24"/>
        </w:rPr>
        <w:t>政府采购中心在“邀请函”中规定的时间和地点公开开标。</w:t>
      </w:r>
    </w:p>
    <w:p>
      <w:pPr>
        <w:spacing w:before="78" w:beforeLines="25" w:line="360" w:lineRule="auto"/>
        <w:ind w:firstLine="480" w:firstLineChars="200"/>
        <w:rPr>
          <w:rFonts w:ascii="宋体"/>
          <w:sz w:val="24"/>
        </w:rPr>
      </w:pPr>
      <w:r>
        <w:rPr>
          <w:rFonts w:ascii="宋体" w:hAnsi="宋体"/>
          <w:sz w:val="24"/>
        </w:rPr>
        <w:t>18.2</w:t>
      </w:r>
      <w:r>
        <w:rPr>
          <w:rFonts w:hint="eastAsia" w:ascii="宋体" w:hAnsi="宋体"/>
          <w:sz w:val="24"/>
        </w:rPr>
        <w:t>开标时，供应商须由法人代表或其委托代理人（具有法人代表签署的授权书）参加，并签到证明其出席开标会议，供应商未参加开标的，视同认可开标结果（网上开标不依此执行）。</w:t>
      </w:r>
    </w:p>
    <w:p>
      <w:pPr>
        <w:spacing w:before="78" w:beforeLines="25" w:line="360" w:lineRule="auto"/>
        <w:ind w:firstLine="480" w:firstLineChars="200"/>
        <w:rPr>
          <w:rFonts w:ascii="宋体"/>
          <w:sz w:val="24"/>
        </w:rPr>
      </w:pPr>
      <w:r>
        <w:rPr>
          <w:rFonts w:ascii="宋体" w:hAnsi="宋体"/>
          <w:sz w:val="24"/>
        </w:rPr>
        <w:t>18.3</w:t>
      </w:r>
      <w:r>
        <w:rPr>
          <w:rFonts w:hint="eastAsia" w:ascii="宋体" w:hAnsi="宋体"/>
          <w:sz w:val="24"/>
        </w:rPr>
        <w:t>开标时，由供应商或者其推选的代表检查“响应文件”的密封情况（网上开标不依此执行）。</w:t>
      </w:r>
    </w:p>
    <w:p>
      <w:pPr>
        <w:spacing w:before="78" w:beforeLines="25" w:line="360" w:lineRule="auto"/>
        <w:rPr>
          <w:rFonts w:ascii="宋体"/>
          <w:sz w:val="24"/>
        </w:rPr>
      </w:pPr>
      <w:r>
        <w:rPr>
          <w:rFonts w:ascii="宋体" w:hAnsi="宋体"/>
          <w:sz w:val="24"/>
        </w:rPr>
        <w:t xml:space="preserve">19. </w:t>
      </w:r>
      <w:r>
        <w:rPr>
          <w:rFonts w:hint="eastAsia" w:ascii="宋体" w:hAnsi="宋体"/>
          <w:sz w:val="24"/>
        </w:rPr>
        <w:t>谈判小组</w:t>
      </w:r>
    </w:p>
    <w:p>
      <w:pPr>
        <w:spacing w:line="360" w:lineRule="auto"/>
        <w:ind w:firstLine="480" w:firstLineChars="200"/>
        <w:rPr>
          <w:rFonts w:ascii="宋体"/>
          <w:sz w:val="24"/>
        </w:rPr>
      </w:pPr>
      <w:r>
        <w:rPr>
          <w:rFonts w:ascii="宋体" w:hAnsi="宋体"/>
          <w:sz w:val="24"/>
        </w:rPr>
        <w:t xml:space="preserve">19.1 </w:t>
      </w:r>
      <w:r>
        <w:rPr>
          <w:rFonts w:hint="eastAsia" w:ascii="宋体" w:hAnsi="宋体"/>
          <w:sz w:val="24"/>
        </w:rPr>
        <w:t>采购人将根据本次招标项目的特点根据本次采购项目的特点组建谈判小组，谈判小组对“响应文件”进行审查、质疑、评估和比较。</w:t>
      </w:r>
      <w:r>
        <w:rPr>
          <w:rFonts w:hint="eastAsia" w:ascii="宋体" w:hAnsi="宋体"/>
          <w:sz w:val="24"/>
          <w:highlight w:val="white"/>
        </w:rPr>
        <w:t>谈判小组将本着公平、公正、择优的原则，严格按照法律法规和招标文件设定的程序和规则推荐评审结果，任何单位和个人不得非法干预或者影响评标过程和结果。</w:t>
      </w:r>
    </w:p>
    <w:p>
      <w:pPr>
        <w:spacing w:before="78" w:beforeLines="25" w:line="360" w:lineRule="auto"/>
        <w:ind w:firstLine="480" w:firstLineChars="200"/>
        <w:rPr>
          <w:rFonts w:ascii="宋体"/>
          <w:sz w:val="24"/>
        </w:rPr>
      </w:pPr>
      <w:r>
        <w:rPr>
          <w:rFonts w:ascii="宋体" w:hAnsi="宋体"/>
          <w:sz w:val="24"/>
        </w:rPr>
        <w:t xml:space="preserve">19.2 </w:t>
      </w:r>
      <w:r>
        <w:rPr>
          <w:rFonts w:hint="eastAsia" w:ascii="宋体" w:hAnsi="宋体"/>
          <w:sz w:val="24"/>
        </w:rPr>
        <w:t>评审时，供应商应由法定代表人代表或法定代表人委托人接受询问。</w:t>
      </w:r>
    </w:p>
    <w:p>
      <w:pPr>
        <w:spacing w:before="78" w:beforeLines="25" w:line="360" w:lineRule="auto"/>
        <w:rPr>
          <w:rFonts w:ascii="宋体"/>
          <w:sz w:val="24"/>
        </w:rPr>
      </w:pPr>
      <w:r>
        <w:rPr>
          <w:rFonts w:ascii="宋体" w:hAnsi="宋体"/>
          <w:sz w:val="24"/>
        </w:rPr>
        <w:t xml:space="preserve">20. </w:t>
      </w:r>
      <w:r>
        <w:rPr>
          <w:rFonts w:hint="eastAsia" w:ascii="宋体" w:hAnsi="宋体"/>
          <w:sz w:val="24"/>
        </w:rPr>
        <w:t>对“响应文件”的审查和响应性的确定</w:t>
      </w:r>
    </w:p>
    <w:p>
      <w:pPr>
        <w:spacing w:before="78" w:beforeLines="25" w:line="360" w:lineRule="auto"/>
        <w:ind w:firstLine="480" w:firstLineChars="200"/>
        <w:rPr>
          <w:rFonts w:ascii="宋体"/>
          <w:sz w:val="24"/>
        </w:rPr>
      </w:pPr>
      <w:r>
        <w:rPr>
          <w:rFonts w:ascii="宋体" w:hAnsi="宋体"/>
          <w:sz w:val="24"/>
        </w:rPr>
        <w:t xml:space="preserve">20.1 </w:t>
      </w:r>
      <w:r>
        <w:rPr>
          <w:rFonts w:hint="eastAsia" w:ascii="宋体" w:hAnsi="宋体"/>
          <w:sz w:val="24"/>
        </w:rPr>
        <w:t>开标后，谈判小组将组织审查“响应文件”。</w:t>
      </w:r>
    </w:p>
    <w:p>
      <w:pPr>
        <w:spacing w:before="78" w:beforeLines="25" w:line="360" w:lineRule="auto"/>
        <w:ind w:firstLine="480" w:firstLineChars="200"/>
        <w:rPr>
          <w:rFonts w:ascii="宋体"/>
          <w:sz w:val="24"/>
        </w:rPr>
      </w:pPr>
      <w:r>
        <w:rPr>
          <w:rFonts w:ascii="宋体" w:hAnsi="宋体"/>
          <w:sz w:val="24"/>
        </w:rPr>
        <w:t>20</w:t>
      </w:r>
      <w:r>
        <w:rPr>
          <w:rFonts w:ascii="宋体"/>
          <w:sz w:val="24"/>
        </w:rPr>
        <w:t>.</w:t>
      </w:r>
      <w:r>
        <w:rPr>
          <w:rFonts w:ascii="宋体" w:hAnsi="宋体"/>
          <w:sz w:val="24"/>
        </w:rPr>
        <w:t>2</w:t>
      </w:r>
      <w:r>
        <w:rPr>
          <w:rFonts w:hint="eastAsia" w:ascii="宋体" w:hAnsi="宋体"/>
          <w:sz w:val="24"/>
        </w:rPr>
        <w:t>谈判小组将确定每份“响应文件”是否对“谈判文件”的要求作出了实质性的响应（谈判文件中已明确的以谈判文件为准，未明确的以谈判小组认定为准）而没有重大偏离。实质性响应的“响应文件”是指符合“谈判文件”的条款、条件和规定，且没有重大偏离或保留。重大偏离或保留系指影响到“谈判文件”规定的范围、质量和性能，或限制了买方的权力和供应商的义务的规定。而纠正这些偏离将影响到其它提交实质性响应的供应商的公平竞争地位。</w:t>
      </w:r>
    </w:p>
    <w:p>
      <w:pPr>
        <w:spacing w:before="78" w:beforeLines="25" w:line="360" w:lineRule="auto"/>
        <w:ind w:firstLine="480" w:firstLineChars="200"/>
        <w:rPr>
          <w:rFonts w:ascii="宋体"/>
          <w:sz w:val="24"/>
        </w:rPr>
      </w:pPr>
      <w:r>
        <w:rPr>
          <w:rFonts w:ascii="宋体" w:hAnsi="宋体"/>
          <w:sz w:val="24"/>
        </w:rPr>
        <w:t>20</w:t>
      </w:r>
      <w:r>
        <w:rPr>
          <w:rFonts w:ascii="宋体"/>
          <w:sz w:val="24"/>
        </w:rPr>
        <w:t>.</w:t>
      </w:r>
      <w:r>
        <w:rPr>
          <w:rFonts w:ascii="宋体" w:hAnsi="宋体"/>
          <w:sz w:val="24"/>
        </w:rPr>
        <w:t>3</w:t>
      </w:r>
      <w:r>
        <w:rPr>
          <w:rFonts w:hint="eastAsia" w:ascii="宋体" w:hAnsi="宋体"/>
          <w:sz w:val="24"/>
        </w:rPr>
        <w:t>谈判小组判断“响应文件”的响应性，仅基于“响应文件”本身而不依靠“响应文件”以外的证据。</w:t>
      </w:r>
    </w:p>
    <w:p>
      <w:pPr>
        <w:spacing w:before="78" w:beforeLines="25" w:line="360" w:lineRule="auto"/>
        <w:ind w:firstLine="480" w:firstLineChars="200"/>
        <w:rPr>
          <w:rFonts w:ascii="宋体"/>
          <w:bCs/>
          <w:sz w:val="24"/>
        </w:rPr>
      </w:pPr>
      <w:r>
        <w:rPr>
          <w:rFonts w:ascii="宋体" w:hAnsi="宋体"/>
          <w:sz w:val="24"/>
        </w:rPr>
        <w:t>20</w:t>
      </w:r>
      <w:r>
        <w:rPr>
          <w:rFonts w:ascii="宋体"/>
          <w:sz w:val="24"/>
        </w:rPr>
        <w:t>.</w:t>
      </w:r>
      <w:r>
        <w:rPr>
          <w:rFonts w:ascii="宋体" w:hAnsi="宋体"/>
          <w:sz w:val="24"/>
        </w:rPr>
        <w:t>4</w:t>
      </w:r>
      <w:r>
        <w:rPr>
          <w:rFonts w:hint="eastAsia" w:ascii="宋体" w:hAnsi="宋体"/>
          <w:sz w:val="24"/>
        </w:rPr>
        <w:t>谈判小组将拒绝被确定为非实质性响应的供应商。供应商</w:t>
      </w:r>
      <w:r>
        <w:rPr>
          <w:rFonts w:hint="eastAsia" w:ascii="宋体" w:hAnsi="宋体"/>
          <w:bCs/>
          <w:sz w:val="24"/>
        </w:rPr>
        <w:t>不能通过修正或撤销不符之处，而使其谈判成为实质性响应的谈判。</w:t>
      </w:r>
    </w:p>
    <w:p>
      <w:pPr>
        <w:spacing w:before="78" w:beforeLines="25" w:line="360" w:lineRule="auto"/>
        <w:ind w:firstLine="480" w:firstLineChars="200"/>
        <w:rPr>
          <w:rFonts w:ascii="宋体" w:cs="宋体"/>
          <w:kern w:val="0"/>
          <w:sz w:val="28"/>
          <w:szCs w:val="28"/>
        </w:rPr>
      </w:pPr>
      <w:r>
        <w:rPr>
          <w:rFonts w:ascii="宋体" w:hAnsi="宋体"/>
          <w:bCs/>
          <w:sz w:val="24"/>
        </w:rPr>
        <w:t>20</w:t>
      </w:r>
      <w:r>
        <w:rPr>
          <w:rFonts w:ascii="宋体"/>
          <w:bCs/>
          <w:sz w:val="24"/>
        </w:rPr>
        <w:t>.</w:t>
      </w:r>
      <w:r>
        <w:rPr>
          <w:rFonts w:ascii="宋体" w:hAnsi="宋体"/>
          <w:bCs/>
          <w:sz w:val="24"/>
        </w:rPr>
        <w:t>5</w:t>
      </w:r>
      <w:r>
        <w:rPr>
          <w:rFonts w:hint="eastAsia" w:ascii="宋体" w:hAnsi="宋体" w:cs="宋体"/>
          <w:bCs/>
          <w:kern w:val="0"/>
          <w:sz w:val="24"/>
        </w:rPr>
        <w:t>在谈判过程中，谈判小组可以根据谈判文件和谈判情况实质性变</w:t>
      </w:r>
      <w:r>
        <w:rPr>
          <w:rFonts w:hint="eastAsia" w:ascii="宋体" w:hAnsi="宋体" w:cs="宋体"/>
          <w:kern w:val="0"/>
          <w:sz w:val="24"/>
        </w:rPr>
        <w:t>动采购需求中的技术、服务要求以及合同草案条款，但不得变动谈判文件中的其他内容。</w:t>
      </w:r>
    </w:p>
    <w:p>
      <w:pPr>
        <w:spacing w:before="78" w:beforeLines="25" w:line="360" w:lineRule="auto"/>
        <w:rPr>
          <w:rFonts w:ascii="宋体"/>
          <w:sz w:val="24"/>
        </w:rPr>
      </w:pPr>
      <w:r>
        <w:rPr>
          <w:rFonts w:ascii="宋体" w:hAnsi="宋体"/>
          <w:sz w:val="24"/>
        </w:rPr>
        <w:t xml:space="preserve">21. </w:t>
      </w:r>
      <w:r>
        <w:rPr>
          <w:rFonts w:hint="eastAsia" w:ascii="宋体" w:hAnsi="宋体"/>
          <w:sz w:val="24"/>
        </w:rPr>
        <w:t>响应文件的澄清</w:t>
      </w:r>
    </w:p>
    <w:p>
      <w:pPr>
        <w:spacing w:before="78" w:beforeLines="25" w:line="360" w:lineRule="auto"/>
        <w:ind w:firstLine="480" w:firstLineChars="200"/>
        <w:rPr>
          <w:rFonts w:ascii="宋体"/>
          <w:sz w:val="24"/>
        </w:rPr>
      </w:pPr>
      <w:r>
        <w:rPr>
          <w:rFonts w:ascii="宋体" w:hAnsi="宋体"/>
          <w:sz w:val="24"/>
        </w:rPr>
        <w:t xml:space="preserve">21.1 </w:t>
      </w:r>
      <w:r>
        <w:rPr>
          <w:rFonts w:hint="eastAsia" w:ascii="宋体" w:hAnsi="宋体"/>
          <w:sz w:val="24"/>
        </w:rPr>
        <w:t>为了有助于对“响应文件”进行审查、评估和比较，谈判小组有权向供应商提出质疑，并请供应商澄清其投标内容。供应商有责任，按照政府采购中心通知的时间、地点，指派专人进行答疑和澄清。</w:t>
      </w:r>
    </w:p>
    <w:p>
      <w:pPr>
        <w:spacing w:before="78" w:beforeLines="25" w:line="360" w:lineRule="auto"/>
        <w:ind w:firstLine="480" w:firstLineChars="200"/>
        <w:rPr>
          <w:rFonts w:ascii="宋体"/>
          <w:sz w:val="24"/>
        </w:rPr>
      </w:pPr>
      <w:r>
        <w:rPr>
          <w:rFonts w:ascii="宋体" w:hAnsi="宋体"/>
          <w:sz w:val="24"/>
        </w:rPr>
        <w:t xml:space="preserve">21.2 </w:t>
      </w:r>
      <w:r>
        <w:rPr>
          <w:rFonts w:hint="eastAsia" w:ascii="宋体" w:hAnsi="宋体"/>
          <w:sz w:val="24"/>
        </w:rPr>
        <w:t>供应商的澄清、说明或者更正响应文件应以书面形式作出，由法定代表人或其授权代表签字或者加盖公章。供应商的澄清、说明或者更正不得超出响应文件的范围或者改变响应文件的实质性内容。</w:t>
      </w:r>
    </w:p>
    <w:p>
      <w:pPr>
        <w:spacing w:before="78" w:beforeLines="25" w:line="360" w:lineRule="auto"/>
        <w:rPr>
          <w:rFonts w:ascii="宋体"/>
          <w:sz w:val="24"/>
        </w:rPr>
      </w:pPr>
      <w:r>
        <w:rPr>
          <w:rFonts w:ascii="宋体" w:hAnsi="宋体"/>
          <w:sz w:val="24"/>
        </w:rPr>
        <w:t>22.</w:t>
      </w:r>
      <w:r>
        <w:rPr>
          <w:rFonts w:hint="eastAsia" w:ascii="宋体" w:hAnsi="宋体" w:cs="宋体"/>
          <w:kern w:val="0"/>
          <w:sz w:val="24"/>
        </w:rPr>
        <w:t>终止竞争性谈判采购活动、</w:t>
      </w:r>
      <w:r>
        <w:rPr>
          <w:rFonts w:hint="eastAsia" w:ascii="宋体" w:hAnsi="宋体"/>
          <w:sz w:val="24"/>
        </w:rPr>
        <w:t>无效标判定办法：</w:t>
      </w:r>
    </w:p>
    <w:p>
      <w:pPr>
        <w:pStyle w:val="34"/>
        <w:spacing w:before="0" w:beforeAutospacing="0" w:after="0" w:afterAutospacing="0" w:line="360" w:lineRule="auto"/>
        <w:ind w:firstLine="480" w:firstLineChars="200"/>
        <w:jc w:val="both"/>
        <w:rPr>
          <w:color w:val="auto"/>
        </w:rPr>
      </w:pPr>
      <w:r>
        <w:rPr>
          <w:color w:val="auto"/>
        </w:rPr>
        <w:t>22.1</w:t>
      </w:r>
      <w:r>
        <w:rPr>
          <w:rFonts w:hint="eastAsia"/>
          <w:color w:val="auto"/>
        </w:rPr>
        <w:t>在谈判采购中，出现下列情形之一的，</w:t>
      </w:r>
      <w:r>
        <w:rPr>
          <w:rFonts w:hint="eastAsia" w:cs="宋体"/>
          <w:color w:val="auto"/>
        </w:rPr>
        <w:t>采购代理机构将终止竞争性谈判采购活动</w:t>
      </w:r>
      <w:r>
        <w:rPr>
          <w:rFonts w:hint="eastAsia"/>
          <w:color w:val="auto"/>
        </w:rPr>
        <w:t>：</w:t>
      </w:r>
    </w:p>
    <w:p>
      <w:pPr>
        <w:spacing w:before="78" w:beforeLines="25" w:line="360" w:lineRule="auto"/>
        <w:ind w:firstLine="480" w:firstLineChars="200"/>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）因情况变化，不再符合规定的竞争性谈判采购方式适用情形的；</w:t>
      </w:r>
    </w:p>
    <w:p>
      <w:pPr>
        <w:spacing w:before="78" w:beforeLines="25" w:line="360" w:lineRule="auto"/>
        <w:ind w:firstLine="480" w:firstLineChars="200"/>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）出现影响采购公正的违法、违规行为的；</w:t>
      </w:r>
    </w:p>
    <w:p>
      <w:pPr>
        <w:spacing w:before="78" w:beforeLines="25" w:line="360" w:lineRule="auto"/>
        <w:ind w:firstLine="480" w:firstLineChars="200"/>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）在采购过程中符合竞争要求的供应商或者报价未超过采购预算的供应商不足</w:t>
      </w:r>
      <w:r>
        <w:rPr>
          <w:rFonts w:ascii="宋体" w:hAnsi="宋体" w:cs="宋体"/>
          <w:kern w:val="0"/>
          <w:sz w:val="24"/>
        </w:rPr>
        <w:t>3</w:t>
      </w:r>
      <w:r>
        <w:rPr>
          <w:rFonts w:hint="eastAsia" w:ascii="宋体" w:hAnsi="宋体" w:cs="宋体"/>
          <w:kern w:val="0"/>
          <w:sz w:val="24"/>
        </w:rPr>
        <w:t>家的，但《政府采购非招标采购方式管理办法》第二十七条规定的情形除外。</w:t>
      </w:r>
    </w:p>
    <w:p>
      <w:pPr>
        <w:widowControl/>
        <w:spacing w:line="360" w:lineRule="auto"/>
        <w:ind w:firstLine="480" w:firstLineChars="200"/>
        <w:rPr>
          <w:rFonts w:ascii="宋体" w:cs="宋体"/>
          <w:sz w:val="24"/>
        </w:rPr>
      </w:pPr>
      <w:r>
        <w:rPr>
          <w:rFonts w:ascii="宋体" w:hAnsi="宋体"/>
          <w:sz w:val="24"/>
        </w:rPr>
        <w:t>22.2</w:t>
      </w:r>
      <w:r>
        <w:rPr>
          <w:rFonts w:hint="eastAsia" w:ascii="宋体" w:hAnsi="宋体" w:cs="宋体"/>
          <w:sz w:val="24"/>
        </w:rPr>
        <w:t>响应文件属下列情况之一的，按照无效投标处理：</w:t>
      </w:r>
    </w:p>
    <w:p>
      <w:pPr>
        <w:widowControl/>
        <w:spacing w:line="360" w:lineRule="auto"/>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）响应文件未按谈判文件要求签署、盖章的；</w:t>
      </w:r>
    </w:p>
    <w:p>
      <w:pPr>
        <w:widowControl/>
        <w:spacing w:line="360" w:lineRule="auto"/>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）不具备谈判文件中规定的资格要求的；</w:t>
      </w:r>
    </w:p>
    <w:p>
      <w:pPr>
        <w:widowControl/>
        <w:spacing w:line="360" w:lineRule="auto"/>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）报价超过谈判文件中规定的预算金额或者最高限价的；</w:t>
      </w:r>
    </w:p>
    <w:p>
      <w:pPr>
        <w:widowControl/>
        <w:spacing w:line="360" w:lineRule="auto"/>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）响应文件含有采购人不能接受的附加条件的；</w:t>
      </w:r>
    </w:p>
    <w:p>
      <w:pPr>
        <w:widowControl/>
        <w:spacing w:line="360" w:lineRule="auto"/>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eastAsia="zh-CN"/>
        </w:rPr>
        <w:t>法律法规规定串通投标行为的；</w:t>
      </w:r>
    </w:p>
    <w:p>
      <w:pPr>
        <w:widowControl/>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）法律、法规和谈判文件规定的其他无效情形</w:t>
      </w:r>
      <w:r>
        <w:rPr>
          <w:rFonts w:hint="eastAsia" w:ascii="宋体" w:hAnsi="宋体"/>
          <w:color w:val="auto"/>
          <w:sz w:val="24"/>
          <w:lang w:eastAsia="zh-CN"/>
        </w:rPr>
        <w:t>。</w:t>
      </w:r>
    </w:p>
    <w:p>
      <w:pPr>
        <w:spacing w:before="78" w:beforeLines="25" w:line="360" w:lineRule="auto"/>
        <w:rPr>
          <w:rFonts w:ascii="宋体"/>
          <w:sz w:val="24"/>
        </w:rPr>
      </w:pPr>
      <w:r>
        <w:rPr>
          <w:rFonts w:ascii="宋体" w:hAnsi="宋体"/>
          <w:sz w:val="24"/>
        </w:rPr>
        <w:t xml:space="preserve">23. </w:t>
      </w:r>
      <w:r>
        <w:rPr>
          <w:rFonts w:hint="eastAsia" w:ascii="宋体" w:hAnsi="宋体"/>
          <w:sz w:val="24"/>
        </w:rPr>
        <w:t>质疑</w:t>
      </w:r>
    </w:p>
    <w:p>
      <w:pPr>
        <w:spacing w:line="360" w:lineRule="auto"/>
        <w:ind w:firstLine="480" w:firstLineChars="200"/>
        <w:rPr>
          <w:rFonts w:ascii="宋体"/>
          <w:sz w:val="24"/>
        </w:rPr>
      </w:pPr>
      <w:r>
        <w:rPr>
          <w:rFonts w:ascii="宋体" w:hAnsi="宋体"/>
          <w:sz w:val="24"/>
        </w:rPr>
        <w:t>23.1</w:t>
      </w:r>
      <w:r>
        <w:rPr>
          <w:rFonts w:hint="eastAsia" w:ascii="宋体" w:hAnsi="宋体"/>
          <w:sz w:val="24"/>
        </w:rPr>
        <w:t>供应商认为采购文件、采购过程、中标或者成交结果使自己的权益受到损害的，可以在知道或者应知其权益受到损害之日起</w:t>
      </w:r>
      <w:r>
        <w:rPr>
          <w:rFonts w:ascii="宋体" w:hAnsi="宋体"/>
          <w:sz w:val="24"/>
        </w:rPr>
        <w:t>7</w:t>
      </w:r>
      <w:r>
        <w:rPr>
          <w:rFonts w:hint="eastAsia" w:ascii="宋体" w:hAnsi="宋体"/>
          <w:sz w:val="24"/>
        </w:rPr>
        <w:t>个工作日内，以纸质书面形式向采购人提出质疑。</w:t>
      </w:r>
    </w:p>
    <w:p>
      <w:pPr>
        <w:spacing w:line="360" w:lineRule="auto"/>
        <w:ind w:firstLine="480" w:firstLineChars="200"/>
        <w:rPr>
          <w:rFonts w:ascii="宋体"/>
          <w:sz w:val="24"/>
        </w:rPr>
      </w:pPr>
      <w:r>
        <w:rPr>
          <w:rFonts w:hint="eastAsia" w:ascii="宋体" w:hAnsi="宋体"/>
          <w:sz w:val="24"/>
        </w:rPr>
        <w:t>不接收以电报、电传、传真、电子数据交换和电子邮件等形式的质疑函。</w:t>
      </w:r>
    </w:p>
    <w:p>
      <w:pPr>
        <w:spacing w:line="360" w:lineRule="auto"/>
        <w:ind w:firstLine="480" w:firstLineChars="200"/>
        <w:rPr>
          <w:rFonts w:ascii="宋体"/>
          <w:sz w:val="24"/>
        </w:rPr>
      </w:pPr>
      <w:r>
        <w:rPr>
          <w:rFonts w:hint="eastAsia" w:ascii="宋体" w:hAnsi="宋体"/>
          <w:sz w:val="24"/>
        </w:rPr>
        <w:t>供应商在法定质疑期内一次性提出针对同一采购程序环节的质疑。</w:t>
      </w:r>
    </w:p>
    <w:p>
      <w:pPr>
        <w:spacing w:line="360" w:lineRule="auto"/>
        <w:ind w:firstLine="480" w:firstLineChars="200"/>
        <w:rPr>
          <w:rFonts w:ascii="宋体"/>
          <w:sz w:val="24"/>
        </w:rPr>
      </w:pPr>
      <w:r>
        <w:rPr>
          <w:rFonts w:ascii="宋体" w:hAnsi="宋体"/>
          <w:sz w:val="24"/>
        </w:rPr>
        <w:t>23.2</w:t>
      </w:r>
      <w:r>
        <w:rPr>
          <w:rFonts w:hint="eastAsia" w:ascii="宋体" w:hAnsi="宋体"/>
          <w:sz w:val="24"/>
        </w:rPr>
        <w:t>提出质疑的供应商（以下简称质疑供应商）应当是参与所质疑项目采购活动的供应商。</w:t>
      </w:r>
    </w:p>
    <w:p>
      <w:pPr>
        <w:spacing w:line="360" w:lineRule="auto"/>
        <w:ind w:firstLine="480" w:firstLineChars="200"/>
        <w:rPr>
          <w:rFonts w:ascii="宋体"/>
          <w:sz w:val="24"/>
        </w:rPr>
      </w:pPr>
      <w:r>
        <w:rPr>
          <w:rFonts w:hint="eastAsia" w:ascii="宋体" w:hAnsi="宋体"/>
          <w:sz w:val="24"/>
        </w:rPr>
        <w:t>潜在供应商已依法获取其可质疑的采购文件的，可以对该文件提出质疑。对采购文件提出质疑的，应当在获取采购文件或者采购文件公告期限届满之日起</w:t>
      </w:r>
      <w:r>
        <w:rPr>
          <w:rFonts w:ascii="宋体" w:hAnsi="宋体"/>
          <w:sz w:val="24"/>
        </w:rPr>
        <w:t>7</w:t>
      </w:r>
      <w:r>
        <w:rPr>
          <w:rFonts w:hint="eastAsia" w:ascii="宋体" w:hAnsi="宋体"/>
          <w:sz w:val="24"/>
        </w:rPr>
        <w:t>个工作日内提出。</w:t>
      </w:r>
    </w:p>
    <w:p>
      <w:pPr>
        <w:spacing w:line="360" w:lineRule="auto"/>
        <w:ind w:firstLine="480" w:firstLineChars="200"/>
        <w:rPr>
          <w:rFonts w:ascii="宋体"/>
          <w:sz w:val="24"/>
        </w:rPr>
      </w:pPr>
      <w:r>
        <w:rPr>
          <w:rFonts w:ascii="宋体" w:hAnsi="宋体"/>
          <w:sz w:val="24"/>
        </w:rPr>
        <w:t xml:space="preserve">23.3 </w:t>
      </w:r>
      <w:r>
        <w:rPr>
          <w:rFonts w:hint="eastAsia" w:ascii="宋体" w:hAnsi="宋体"/>
          <w:sz w:val="24"/>
        </w:rPr>
        <w:t>供应商提出质疑应当提交质疑函和必要的证明材料。质疑函应当包括下列内容：</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）供应商的姓名或者名称、地址、邮编、联系人及联系电话；</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）质疑项目的名称、编号；</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）具体、明确的质疑事项和与质疑事项相关的请求；</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）事实依据；</w:t>
      </w:r>
    </w:p>
    <w:p>
      <w:pPr>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）必要的法律依据；</w:t>
      </w:r>
    </w:p>
    <w:p>
      <w:pPr>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）提出质疑的日期。</w:t>
      </w:r>
    </w:p>
    <w:p>
      <w:pPr>
        <w:spacing w:line="360" w:lineRule="auto"/>
        <w:ind w:firstLine="480" w:firstLineChars="200"/>
        <w:rPr>
          <w:rFonts w:asci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宋体"/>
          <w:sz w:val="24"/>
        </w:rPr>
      </w:pPr>
      <w:r>
        <w:rPr>
          <w:rFonts w:hint="eastAsia" w:ascii="宋体" w:hAnsi="宋体"/>
          <w:sz w:val="24"/>
        </w:rPr>
        <w:t>质疑函范本供应商在中国政府采购网（</w:t>
      </w:r>
      <w:r>
        <w:rPr>
          <w:rFonts w:ascii="宋体" w:hAnsi="宋体"/>
          <w:sz w:val="24"/>
        </w:rPr>
        <w:t>http://www.ccgp.gov.cn/</w:t>
      </w:r>
      <w:r>
        <w:rPr>
          <w:rFonts w:hint="eastAsia" w:ascii="宋体" w:hAnsi="宋体"/>
          <w:sz w:val="24"/>
        </w:rPr>
        <w:t>）下载。</w:t>
      </w:r>
    </w:p>
    <w:p>
      <w:pPr>
        <w:spacing w:line="360" w:lineRule="auto"/>
        <w:ind w:firstLine="480" w:firstLineChars="200"/>
        <w:rPr>
          <w:rFonts w:ascii="宋体"/>
          <w:sz w:val="24"/>
        </w:rPr>
      </w:pPr>
      <w:r>
        <w:rPr>
          <w:rFonts w:ascii="宋体" w:hAnsi="宋体"/>
          <w:sz w:val="24"/>
        </w:rPr>
        <w:t xml:space="preserve">23.4 </w:t>
      </w:r>
      <w:r>
        <w:rPr>
          <w:rFonts w:hint="eastAsia" w:ascii="宋体" w:hAnsi="宋体"/>
          <w:sz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firstLine="480" w:firstLineChars="200"/>
        <w:rPr>
          <w:rFonts w:ascii="宋体"/>
          <w:sz w:val="24"/>
        </w:rPr>
      </w:pPr>
      <w:r>
        <w:rPr>
          <w:rFonts w:hint="eastAsia" w:ascii="宋体" w:hAnsi="宋体"/>
          <w:sz w:val="24"/>
        </w:rPr>
        <w:t>代理人提出质疑和投诉，应当提交供应商签署的授权委托书。</w:t>
      </w:r>
    </w:p>
    <w:p>
      <w:pPr>
        <w:spacing w:line="360" w:lineRule="auto"/>
        <w:ind w:firstLine="480" w:firstLineChars="200"/>
        <w:rPr>
          <w:rFonts w:ascii="宋体"/>
          <w:sz w:val="24"/>
        </w:rPr>
      </w:pPr>
      <w:r>
        <w:rPr>
          <w:rFonts w:hint="eastAsia" w:ascii="宋体" w:hAnsi="宋体"/>
          <w:sz w:val="24"/>
        </w:rPr>
        <w:t>以联合体形式参加政府采购活动的，其投诉应当由组成联合体的所有供应商共同提出。</w:t>
      </w:r>
    </w:p>
    <w:p>
      <w:pPr>
        <w:spacing w:line="360" w:lineRule="auto"/>
        <w:ind w:firstLine="480" w:firstLineChars="200"/>
        <w:rPr>
          <w:rFonts w:ascii="宋体"/>
          <w:sz w:val="24"/>
        </w:rPr>
      </w:pPr>
      <w:r>
        <w:rPr>
          <w:rFonts w:ascii="宋体" w:hAnsi="宋体"/>
          <w:sz w:val="24"/>
        </w:rPr>
        <w:t xml:space="preserve">23.5 </w:t>
      </w:r>
      <w:r>
        <w:rPr>
          <w:rFonts w:hint="eastAsia" w:ascii="宋体" w:hAnsi="宋体"/>
          <w:sz w:val="24"/>
        </w:rPr>
        <w:t>采购人收到质疑之日起</w:t>
      </w:r>
      <w:r>
        <w:rPr>
          <w:rFonts w:ascii="宋体" w:hAnsi="宋体"/>
          <w:sz w:val="24"/>
        </w:rPr>
        <w:t>7</w:t>
      </w:r>
      <w:r>
        <w:rPr>
          <w:rFonts w:hint="eastAsia" w:ascii="宋体" w:hAnsi="宋体"/>
          <w:sz w:val="24"/>
        </w:rPr>
        <w:t>个工作日内作出答复，并以书面形式通知质疑供应商和其他有关供应商。</w:t>
      </w:r>
    </w:p>
    <w:p>
      <w:pPr>
        <w:spacing w:line="360" w:lineRule="auto"/>
        <w:ind w:firstLine="480" w:firstLineChars="200"/>
        <w:rPr>
          <w:rFonts w:ascii="宋体"/>
          <w:sz w:val="24"/>
        </w:rPr>
      </w:pPr>
      <w:r>
        <w:rPr>
          <w:rFonts w:ascii="宋体" w:hAnsi="宋体"/>
          <w:sz w:val="24"/>
        </w:rPr>
        <w:t>23.6</w:t>
      </w:r>
      <w:r>
        <w:rPr>
          <w:rFonts w:hint="eastAsia" w:ascii="宋体" w:hAnsi="宋体"/>
          <w:sz w:val="24"/>
        </w:rPr>
        <w:t>未按要求提交的质疑函不予受理。</w:t>
      </w:r>
    </w:p>
    <w:p>
      <w:pPr>
        <w:pStyle w:val="21"/>
        <w:spacing w:line="360" w:lineRule="auto"/>
        <w:jc w:val="left"/>
        <w:rPr>
          <w:rFonts w:hAnsi="宋体"/>
          <w:sz w:val="24"/>
          <w:szCs w:val="24"/>
        </w:rPr>
      </w:pPr>
      <w:r>
        <w:rPr>
          <w:rFonts w:hAnsi="宋体"/>
          <w:sz w:val="24"/>
          <w:szCs w:val="24"/>
        </w:rPr>
        <w:t>24.</w:t>
      </w:r>
      <w:r>
        <w:rPr>
          <w:rFonts w:hint="eastAsia" w:hAnsi="宋体"/>
          <w:sz w:val="24"/>
          <w:szCs w:val="24"/>
        </w:rPr>
        <w:t>评审程序和方法</w:t>
      </w:r>
    </w:p>
    <w:p>
      <w:pPr>
        <w:pStyle w:val="21"/>
        <w:spacing w:line="360" w:lineRule="auto"/>
        <w:ind w:firstLine="480" w:firstLineChars="200"/>
        <w:jc w:val="left"/>
        <w:rPr>
          <w:rFonts w:hAnsi="宋体"/>
          <w:sz w:val="24"/>
          <w:szCs w:val="24"/>
        </w:rPr>
      </w:pPr>
      <w:r>
        <w:rPr>
          <w:rFonts w:hAnsi="宋体"/>
          <w:sz w:val="24"/>
          <w:szCs w:val="24"/>
        </w:rPr>
        <w:t>24.1</w:t>
      </w:r>
      <w:r>
        <w:rPr>
          <w:rFonts w:hint="eastAsia" w:hAnsi="宋体"/>
          <w:sz w:val="24"/>
          <w:szCs w:val="24"/>
        </w:rPr>
        <w:t>评审程序：</w:t>
      </w:r>
    </w:p>
    <w:p>
      <w:pPr>
        <w:spacing w:line="360" w:lineRule="auto"/>
        <w:ind w:firstLine="480" w:firstLineChars="200"/>
        <w:rPr>
          <w:rFonts w:ascii="宋体"/>
          <w:sz w:val="24"/>
        </w:rPr>
      </w:pPr>
      <w:r>
        <w:rPr>
          <w:rFonts w:ascii="宋体" w:hAnsi="宋体"/>
          <w:sz w:val="24"/>
        </w:rPr>
        <w:t>24.1.1</w:t>
      </w:r>
      <w:r>
        <w:rPr>
          <w:rFonts w:hint="eastAsia" w:ascii="宋体" w:hAnsi="宋体"/>
          <w:sz w:val="24"/>
        </w:rPr>
        <w:t>资格性审查。采购人依据法律法规和谈判文件的规定，对谈判文件中规定的特殊资格要求进行审查，不符合谈判文件资格要求的按无效标处理。</w:t>
      </w:r>
    </w:p>
    <w:p>
      <w:pPr>
        <w:spacing w:line="360" w:lineRule="auto"/>
        <w:ind w:firstLine="480" w:firstLineChars="200"/>
        <w:rPr>
          <w:rFonts w:ascii="宋体"/>
          <w:sz w:val="24"/>
        </w:rPr>
      </w:pPr>
      <w:r>
        <w:rPr>
          <w:rFonts w:ascii="宋体" w:hAnsi="宋体"/>
          <w:sz w:val="24"/>
        </w:rPr>
        <w:t>24.1.2</w:t>
      </w:r>
      <w:r>
        <w:rPr>
          <w:rFonts w:hint="eastAsia" w:ascii="宋体" w:hAnsi="宋体"/>
          <w:sz w:val="24"/>
        </w:rPr>
        <w:t>符合性检查。谈判小组依据谈判文件的规定，从响应文件的有效性、完整性和对谈判文件的响应程度进行审查，以确定是否对谈判文件的实质性要求作出响应。</w:t>
      </w:r>
    </w:p>
    <w:p>
      <w:pPr>
        <w:pStyle w:val="21"/>
        <w:spacing w:line="360" w:lineRule="auto"/>
        <w:ind w:firstLine="480" w:firstLineChars="200"/>
        <w:jc w:val="left"/>
        <w:rPr>
          <w:rFonts w:hAnsi="宋体"/>
          <w:sz w:val="24"/>
          <w:szCs w:val="24"/>
        </w:rPr>
      </w:pPr>
      <w:r>
        <w:rPr>
          <w:rFonts w:hAnsi="宋体"/>
          <w:sz w:val="24"/>
          <w:szCs w:val="24"/>
        </w:rPr>
        <w:t>24.1.3</w:t>
      </w:r>
      <w:r>
        <w:rPr>
          <w:rFonts w:hint="eastAsia" w:hAnsi="宋体"/>
          <w:sz w:val="24"/>
          <w:szCs w:val="24"/>
        </w:rPr>
        <w:t>技术审查。谈判小组成员将对合格响应文件的技术参数响应情况进行详细审查。供应商根据响应文件介绍方案情况，合格的响应文件进入谈判环节。</w:t>
      </w:r>
    </w:p>
    <w:p>
      <w:pPr>
        <w:pStyle w:val="21"/>
        <w:spacing w:line="360" w:lineRule="auto"/>
        <w:ind w:firstLine="480" w:firstLineChars="200"/>
        <w:jc w:val="left"/>
        <w:rPr>
          <w:rFonts w:hAnsi="宋体"/>
          <w:sz w:val="24"/>
          <w:szCs w:val="24"/>
        </w:rPr>
      </w:pPr>
      <w:r>
        <w:rPr>
          <w:rFonts w:hAnsi="宋体"/>
          <w:sz w:val="24"/>
          <w:szCs w:val="24"/>
        </w:rPr>
        <w:t>24.1.4</w:t>
      </w:r>
      <w:r>
        <w:rPr>
          <w:rFonts w:hint="eastAsia" w:hAnsi="宋体"/>
          <w:sz w:val="24"/>
          <w:szCs w:val="24"/>
        </w:rPr>
        <w:t>价格谈判。在谈判过程中，谈判小组就采购内容与供应商进行商务、技术、配置、服务、合同等多方面的谈判，最终形成统一的质量和服务标准并书面通知所有参与谈判的供应商。</w:t>
      </w:r>
    </w:p>
    <w:p>
      <w:pPr>
        <w:pStyle w:val="21"/>
        <w:spacing w:line="360" w:lineRule="auto"/>
        <w:ind w:firstLine="408" w:firstLineChars="170"/>
        <w:jc w:val="left"/>
        <w:rPr>
          <w:rFonts w:hAnsi="宋体"/>
          <w:color w:val="0000FF"/>
          <w:sz w:val="24"/>
          <w:szCs w:val="24"/>
        </w:rPr>
      </w:pPr>
      <w:r>
        <w:rPr>
          <w:rFonts w:hint="eastAsia" w:hAnsi="宋体"/>
          <w:sz w:val="24"/>
          <w:szCs w:val="24"/>
        </w:rPr>
        <w:t>谈判结束，所有参加谈判的供应商在确认统一的质量和服务标准后（须经法定代表人或委托人签署），在规定的时间内进行最后报价。</w:t>
      </w:r>
    </w:p>
    <w:p>
      <w:pPr>
        <w:pStyle w:val="21"/>
        <w:spacing w:line="360" w:lineRule="auto"/>
        <w:ind w:firstLine="408" w:firstLineChars="170"/>
        <w:jc w:val="left"/>
        <w:rPr>
          <w:rFonts w:hAnsi="宋体"/>
          <w:sz w:val="24"/>
          <w:szCs w:val="24"/>
        </w:rPr>
      </w:pPr>
      <w:r>
        <w:rPr>
          <w:rFonts w:hAnsi="宋体"/>
          <w:sz w:val="24"/>
          <w:szCs w:val="24"/>
        </w:rPr>
        <w:t>24.2</w:t>
      </w:r>
      <w:r>
        <w:rPr>
          <w:rFonts w:hint="eastAsia" w:hAnsi="宋体"/>
          <w:sz w:val="24"/>
          <w:szCs w:val="24"/>
        </w:rPr>
        <w:t>评审方法、成交原则：</w:t>
      </w:r>
    </w:p>
    <w:p>
      <w:pPr>
        <w:pStyle w:val="21"/>
        <w:spacing w:line="360" w:lineRule="auto"/>
        <w:ind w:firstLine="408" w:firstLineChars="170"/>
        <w:jc w:val="left"/>
        <w:rPr>
          <w:rFonts w:hAnsi="宋体"/>
          <w:sz w:val="24"/>
          <w:szCs w:val="24"/>
        </w:rPr>
      </w:pPr>
      <w:r>
        <w:rPr>
          <w:rFonts w:hint="eastAsia" w:hAnsi="宋体"/>
          <w:sz w:val="24"/>
          <w:szCs w:val="24"/>
        </w:rPr>
        <w:t>本次评审采用最低评标价法确定成交供应商。谈判小组通过资格性检查、符合性检查、技术审查、价格比较，对合格供应商的响应文件内容进行比对，对合格的响应文件，谈判小组将根据供应商最后报价按从低到高顺序排序，根据质量和服务均能满足采购文件实质性响应要求且最后报价最低的原则确定成交供应商；</w:t>
      </w:r>
    </w:p>
    <w:p>
      <w:pPr>
        <w:pStyle w:val="21"/>
        <w:spacing w:line="360" w:lineRule="auto"/>
        <w:ind w:firstLine="408" w:firstLineChars="170"/>
        <w:jc w:val="left"/>
        <w:rPr>
          <w:rFonts w:hAnsi="宋体"/>
          <w:sz w:val="24"/>
          <w:szCs w:val="24"/>
        </w:rPr>
      </w:pPr>
      <w:r>
        <w:rPr>
          <w:rFonts w:hint="eastAsia" w:hAnsi="宋体"/>
          <w:sz w:val="24"/>
          <w:szCs w:val="24"/>
        </w:rPr>
        <w:t>成交原则</w:t>
      </w:r>
      <w:r>
        <w:rPr>
          <w:rFonts w:hAnsi="宋体"/>
          <w:sz w:val="24"/>
          <w:szCs w:val="24"/>
        </w:rPr>
        <w:t>:</w:t>
      </w:r>
      <w:r>
        <w:rPr>
          <w:rFonts w:hint="eastAsia" w:hAnsi="宋体"/>
          <w:sz w:val="24"/>
          <w:szCs w:val="24"/>
        </w:rPr>
        <w:t>采用最低评标价法，以价格为主要因素确定成交供应商的评标办法，即在低于采购预算价格的基础上，完全符合采购需求，质量和服务相等且报价最低的为成交供应商。若同时有两家或两家以上供应商报价最低且相等的情况下，则由该两家或两家以上供应商继续报价，直至确定报价最低的一家供应商。</w:t>
      </w:r>
    </w:p>
    <w:p>
      <w:pPr>
        <w:pStyle w:val="21"/>
        <w:spacing w:line="360" w:lineRule="auto"/>
        <w:ind w:firstLine="408" w:firstLineChars="170"/>
        <w:jc w:val="left"/>
        <w:rPr>
          <w:rFonts w:hAnsi="宋体"/>
          <w:sz w:val="24"/>
          <w:szCs w:val="24"/>
        </w:rPr>
      </w:pPr>
    </w:p>
    <w:p>
      <w:pPr>
        <w:spacing w:before="78" w:beforeLines="25" w:line="440" w:lineRule="exact"/>
        <w:jc w:val="center"/>
        <w:outlineLvl w:val="1"/>
        <w:rPr>
          <w:rFonts w:ascii="宋体"/>
          <w:b/>
          <w:sz w:val="28"/>
          <w:szCs w:val="20"/>
        </w:rPr>
      </w:pPr>
      <w:bookmarkStart w:id="30" w:name="_Toc3536"/>
      <w:bookmarkStart w:id="31" w:name="_Toc22720"/>
      <w:bookmarkStart w:id="32" w:name="_Toc3156"/>
      <w:r>
        <w:rPr>
          <w:rFonts w:hint="eastAsia" w:ascii="宋体" w:hAnsi="宋体"/>
          <w:b/>
          <w:sz w:val="28"/>
          <w:szCs w:val="20"/>
        </w:rPr>
        <w:t>Ｆ 授予合同</w:t>
      </w:r>
      <w:bookmarkEnd w:id="30"/>
      <w:bookmarkEnd w:id="31"/>
      <w:bookmarkEnd w:id="32"/>
    </w:p>
    <w:p>
      <w:pPr>
        <w:pStyle w:val="21"/>
        <w:spacing w:line="360" w:lineRule="auto"/>
        <w:jc w:val="left"/>
        <w:rPr>
          <w:rFonts w:hAnsi="宋体"/>
          <w:sz w:val="24"/>
          <w:szCs w:val="24"/>
        </w:rPr>
      </w:pPr>
      <w:r>
        <w:rPr>
          <w:rFonts w:hAnsi="宋体"/>
          <w:sz w:val="24"/>
          <w:szCs w:val="24"/>
        </w:rPr>
        <w:t xml:space="preserve">25. </w:t>
      </w:r>
      <w:r>
        <w:rPr>
          <w:rFonts w:hint="eastAsia" w:hAnsi="宋体"/>
          <w:sz w:val="24"/>
          <w:szCs w:val="24"/>
        </w:rPr>
        <w:t>成交结果通知</w:t>
      </w:r>
    </w:p>
    <w:p>
      <w:pPr>
        <w:pStyle w:val="21"/>
        <w:spacing w:line="360" w:lineRule="auto"/>
        <w:ind w:firstLine="408" w:firstLineChars="170"/>
        <w:jc w:val="left"/>
        <w:rPr>
          <w:rFonts w:hAnsi="宋体"/>
          <w:sz w:val="24"/>
          <w:szCs w:val="24"/>
        </w:rPr>
      </w:pPr>
      <w:r>
        <w:rPr>
          <w:rFonts w:hAnsi="宋体"/>
          <w:sz w:val="24"/>
          <w:szCs w:val="24"/>
        </w:rPr>
        <w:t xml:space="preserve">25.1 </w:t>
      </w:r>
      <w:r>
        <w:rPr>
          <w:rFonts w:hint="eastAsia" w:hAnsi="宋体"/>
          <w:sz w:val="24"/>
          <w:szCs w:val="24"/>
        </w:rPr>
        <w:t>评审结束后，由政府采购中心签发《成交结果通知书》。本成交结果将在河北省政府采购网、承德市公共资源交易平台公布，其它媒体转载无效。</w:t>
      </w:r>
    </w:p>
    <w:p>
      <w:pPr>
        <w:pStyle w:val="21"/>
        <w:spacing w:line="360" w:lineRule="auto"/>
        <w:ind w:firstLine="408" w:firstLineChars="170"/>
        <w:jc w:val="left"/>
        <w:rPr>
          <w:rFonts w:hAnsi="宋体"/>
          <w:sz w:val="24"/>
          <w:szCs w:val="24"/>
        </w:rPr>
      </w:pPr>
      <w:r>
        <w:rPr>
          <w:rFonts w:hAnsi="宋体"/>
          <w:sz w:val="24"/>
          <w:szCs w:val="24"/>
        </w:rPr>
        <w:t xml:space="preserve">25.2 </w:t>
      </w:r>
      <w:r>
        <w:rPr>
          <w:rFonts w:hint="eastAsia" w:hAnsi="宋体"/>
          <w:sz w:val="24"/>
          <w:szCs w:val="24"/>
        </w:rPr>
        <w:t>《成交结果通知书》将作为签订合同的重要依据。</w:t>
      </w:r>
    </w:p>
    <w:p>
      <w:pPr>
        <w:pStyle w:val="21"/>
        <w:spacing w:line="360" w:lineRule="auto"/>
        <w:jc w:val="left"/>
        <w:rPr>
          <w:rFonts w:hAnsi="宋体"/>
          <w:sz w:val="24"/>
          <w:szCs w:val="24"/>
        </w:rPr>
      </w:pPr>
      <w:r>
        <w:rPr>
          <w:rFonts w:hAnsi="宋体"/>
          <w:sz w:val="24"/>
          <w:szCs w:val="24"/>
        </w:rPr>
        <w:t xml:space="preserve">26. </w:t>
      </w:r>
      <w:r>
        <w:rPr>
          <w:rFonts w:hint="eastAsia" w:hAnsi="宋体"/>
          <w:sz w:val="24"/>
          <w:szCs w:val="24"/>
        </w:rPr>
        <w:t>授予合同时变更数量的权力</w:t>
      </w:r>
    </w:p>
    <w:p>
      <w:pPr>
        <w:pStyle w:val="21"/>
        <w:spacing w:line="360" w:lineRule="auto"/>
        <w:ind w:firstLine="408" w:firstLineChars="170"/>
        <w:jc w:val="left"/>
        <w:rPr>
          <w:rFonts w:hAnsi="宋体"/>
          <w:sz w:val="24"/>
          <w:szCs w:val="24"/>
        </w:rPr>
      </w:pPr>
      <w:r>
        <w:rPr>
          <w:rFonts w:hAnsi="宋体"/>
          <w:sz w:val="24"/>
          <w:szCs w:val="24"/>
        </w:rPr>
        <w:t xml:space="preserve">26.1 </w:t>
      </w:r>
      <w:r>
        <w:rPr>
          <w:rFonts w:hint="eastAsia" w:hAnsi="宋体"/>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jc w:val="left"/>
        <w:rPr>
          <w:rFonts w:ascii="宋体"/>
          <w:sz w:val="24"/>
        </w:rPr>
      </w:pPr>
      <w:r>
        <w:rPr>
          <w:rFonts w:ascii="宋体" w:hAnsi="宋体"/>
          <w:sz w:val="24"/>
        </w:rPr>
        <w:t xml:space="preserve">27. </w:t>
      </w:r>
      <w:r>
        <w:rPr>
          <w:rFonts w:hint="eastAsia" w:ascii="宋体" w:hAnsi="宋体"/>
          <w:sz w:val="24"/>
        </w:rPr>
        <w:t>签订合同</w:t>
      </w:r>
    </w:p>
    <w:p>
      <w:pPr>
        <w:spacing w:line="360" w:lineRule="auto"/>
        <w:ind w:firstLine="480" w:firstLineChars="200"/>
        <w:jc w:val="left"/>
        <w:rPr>
          <w:rFonts w:ascii="宋体"/>
          <w:sz w:val="24"/>
        </w:rPr>
      </w:pPr>
      <w:r>
        <w:rPr>
          <w:rFonts w:ascii="宋体" w:hAnsi="宋体"/>
          <w:sz w:val="24"/>
        </w:rPr>
        <w:t>27.1</w:t>
      </w:r>
      <w:r>
        <w:rPr>
          <w:rFonts w:hint="eastAsia" w:ascii="宋体" w:hAnsi="宋体" w:cs="宋体"/>
          <w:kern w:val="0"/>
          <w:sz w:val="24"/>
        </w:rPr>
        <w:t>采购人与成交供应商应当在成交通知书发出之日起</w:t>
      </w:r>
      <w:r>
        <w:rPr>
          <w:rFonts w:ascii="宋体" w:hAnsi="宋体" w:cs="宋体"/>
          <w:kern w:val="0"/>
          <w:sz w:val="24"/>
        </w:rPr>
        <w:t>30</w:t>
      </w:r>
      <w:r>
        <w:rPr>
          <w:rFonts w:hint="eastAsia" w:ascii="宋体" w:hAnsi="宋体" w:cs="宋体"/>
          <w:kern w:val="0"/>
          <w:sz w:val="24"/>
        </w:rPr>
        <w:t>日内，按照</w:t>
      </w:r>
      <w:r>
        <w:rPr>
          <w:rFonts w:hint="eastAsia" w:ascii="宋体" w:hAnsi="宋体"/>
          <w:sz w:val="24"/>
        </w:rPr>
        <w:t>谈判文</w:t>
      </w:r>
      <w:r>
        <w:rPr>
          <w:rFonts w:hint="eastAsia" w:ascii="宋体" w:hAnsi="宋体" w:cs="宋体"/>
          <w:kern w:val="0"/>
          <w:sz w:val="24"/>
        </w:rPr>
        <w:t>件确定的事项签订政府采购合同。</w:t>
      </w:r>
    </w:p>
    <w:p>
      <w:pPr>
        <w:spacing w:line="360" w:lineRule="auto"/>
        <w:ind w:firstLine="480" w:firstLineChars="200"/>
        <w:jc w:val="left"/>
        <w:rPr>
          <w:rFonts w:ascii="宋体"/>
          <w:sz w:val="24"/>
        </w:rPr>
      </w:pPr>
      <w:r>
        <w:rPr>
          <w:rFonts w:ascii="宋体" w:hAnsi="宋体"/>
          <w:sz w:val="24"/>
        </w:rPr>
        <w:t xml:space="preserve">27.2 </w:t>
      </w:r>
      <w:r>
        <w:rPr>
          <w:rFonts w:hint="eastAsia" w:ascii="宋体" w:hAnsi="宋体"/>
          <w:sz w:val="24"/>
        </w:rPr>
        <w:t>“谈判文件”、成交供应商的“响应文件”及其澄清文件等，均为签订经济合同的依据。</w:t>
      </w:r>
    </w:p>
    <w:p>
      <w:pPr>
        <w:spacing w:line="360" w:lineRule="auto"/>
        <w:ind w:firstLine="480" w:firstLineChars="200"/>
        <w:jc w:val="left"/>
        <w:rPr>
          <w:rFonts w:ascii="宋体" w:cs="Helvetica"/>
          <w:sz w:val="24"/>
        </w:rPr>
      </w:pPr>
      <w:r>
        <w:rPr>
          <w:rFonts w:ascii="宋体" w:hAnsi="宋体"/>
          <w:sz w:val="24"/>
        </w:rPr>
        <w:t>27.3</w:t>
      </w:r>
      <w:r>
        <w:rPr>
          <w:rFonts w:hint="eastAsia" w:ascii="宋体" w:hAnsi="宋体" w:cs="Helvetica"/>
          <w:sz w:val="24"/>
        </w:rPr>
        <w:t>采购人应当自政府采购合同签订之日起</w:t>
      </w:r>
      <w:r>
        <w:rPr>
          <w:rFonts w:ascii="宋体" w:hAnsi="宋体" w:cs="Helvetica"/>
          <w:sz w:val="24"/>
        </w:rPr>
        <w:t>2</w:t>
      </w:r>
      <w:r>
        <w:rPr>
          <w:rFonts w:hint="eastAsia" w:ascii="宋体" w:hAnsi="宋体" w:cs="Helvetica"/>
          <w:sz w:val="24"/>
        </w:rPr>
        <w:t>个工作日内，将政府采购合同在省级以上人民政府财政部门指定的媒体上公告，但政府采购合同中涉及国家秘密、商业秘密的内容除外。</w:t>
      </w:r>
    </w:p>
    <w:p>
      <w:pPr>
        <w:spacing w:line="360" w:lineRule="auto"/>
        <w:ind w:firstLine="480" w:firstLineChars="200"/>
        <w:jc w:val="left"/>
        <w:rPr>
          <w:rFonts w:ascii="宋体" w:cs="Helvetica"/>
          <w:sz w:val="24"/>
        </w:rPr>
      </w:pPr>
      <w:r>
        <w:rPr>
          <w:rFonts w:ascii="宋体" w:hAnsi="宋体" w:cs="Helvetica"/>
          <w:sz w:val="24"/>
        </w:rPr>
        <w:t>27.4</w:t>
      </w:r>
      <w:r>
        <w:rPr>
          <w:rFonts w:hint="eastAsia" w:ascii="宋体" w:hAnsi="宋体"/>
          <w:sz w:val="24"/>
        </w:rPr>
        <w:t>中标或者成交供应商提交履约保证金的，供应商应当以支票、汇票、本票或者金融机构、担保机构出具的保函等非现金形式提交。履约保证金的数额不得超过政府采购合同金额的</w:t>
      </w:r>
      <w:r>
        <w:rPr>
          <w:rFonts w:ascii="宋体" w:hAnsi="宋体"/>
          <w:sz w:val="24"/>
        </w:rPr>
        <w:t>10%</w:t>
      </w:r>
      <w:r>
        <w:rPr>
          <w:rFonts w:hint="eastAsia" w:ascii="宋体" w:hAnsi="宋体"/>
          <w:sz w:val="24"/>
        </w:rPr>
        <w:t>。</w:t>
      </w:r>
    </w:p>
    <w:p>
      <w:pPr>
        <w:spacing w:line="360" w:lineRule="auto"/>
        <w:ind w:firstLine="480" w:firstLineChars="200"/>
        <w:jc w:val="left"/>
        <w:rPr>
          <w:rFonts w:ascii="宋体" w:cs="Helvetica"/>
          <w:sz w:val="24"/>
        </w:rPr>
      </w:pPr>
      <w:r>
        <w:rPr>
          <w:rFonts w:ascii="宋体" w:hAnsi="宋体" w:cs="Helvetica"/>
          <w:sz w:val="24"/>
        </w:rPr>
        <w:t>27.5</w:t>
      </w:r>
      <w:r>
        <w:rPr>
          <w:rFonts w:hint="eastAsia" w:ascii="宋体" w:hAnsi="宋体" w:cs="Helvetica"/>
          <w:sz w:val="24"/>
        </w:rPr>
        <w:t>采购人应当按照政府采购合同规定的技术、服务、安全标准组织对供应商履约情况进行验收，出具验收书，并与政府采购合同及其他采购文件一并存档。验收书应当包括每一项技术、服务、安全标准的履约情况。</w:t>
      </w:r>
    </w:p>
    <w:p>
      <w:pPr>
        <w:pStyle w:val="21"/>
        <w:spacing w:line="480" w:lineRule="exact"/>
        <w:rPr>
          <w:rFonts w:hAnsi="宋体"/>
          <w:sz w:val="28"/>
          <w:szCs w:val="28"/>
        </w:rPr>
      </w:pPr>
    </w:p>
    <w:p>
      <w:pPr>
        <w:pStyle w:val="21"/>
        <w:spacing w:line="480" w:lineRule="exact"/>
        <w:rPr>
          <w:rFonts w:hAnsi="宋体"/>
          <w:sz w:val="28"/>
          <w:szCs w:val="28"/>
        </w:rPr>
      </w:pPr>
    </w:p>
    <w:p>
      <w:pPr>
        <w:pStyle w:val="21"/>
        <w:spacing w:line="480" w:lineRule="exact"/>
        <w:rPr>
          <w:rFonts w:hAnsi="宋体"/>
          <w:sz w:val="28"/>
          <w:szCs w:val="28"/>
        </w:rPr>
      </w:pPr>
    </w:p>
    <w:p>
      <w:pPr>
        <w:pStyle w:val="21"/>
        <w:numPr>
          <w:ilvl w:val="0"/>
          <w:numId w:val="2"/>
        </w:numPr>
        <w:spacing w:line="480" w:lineRule="exact"/>
        <w:ind w:left="2730" w:leftChars="0" w:firstLineChars="0"/>
        <w:jc w:val="center"/>
        <w:outlineLvl w:val="0"/>
        <w:rPr>
          <w:rStyle w:val="185"/>
          <w:rFonts w:hAnsi="宋体"/>
          <w:b/>
          <w:bCs/>
          <w:sz w:val="32"/>
          <w:szCs w:val="18"/>
        </w:rPr>
      </w:pPr>
      <w:r>
        <w:rPr>
          <w:rFonts w:hAnsi="宋体"/>
          <w:sz w:val="28"/>
          <w:szCs w:val="28"/>
        </w:rPr>
        <w:br w:type="page"/>
      </w:r>
      <w:bookmarkStart w:id="33" w:name="_Toc23566"/>
      <w:bookmarkStart w:id="34" w:name="_Toc30020"/>
      <w:bookmarkStart w:id="35" w:name="_Toc16591"/>
      <w:r>
        <w:rPr>
          <w:rFonts w:hint="eastAsia" w:hAnsi="宋体" w:cs="Arial"/>
          <w:b/>
          <w:bCs/>
          <w:sz w:val="32"/>
        </w:rPr>
        <w:t>政府采购合同</w:t>
      </w:r>
      <w:r>
        <w:rPr>
          <w:rStyle w:val="185"/>
          <w:rFonts w:hAnsi="宋体"/>
          <w:b/>
          <w:bCs/>
          <w:sz w:val="32"/>
          <w:szCs w:val="18"/>
        </w:rPr>
        <w:t>(</w:t>
      </w:r>
      <w:r>
        <w:rPr>
          <w:rStyle w:val="185"/>
          <w:rFonts w:hint="eastAsia" w:hAnsi="宋体"/>
          <w:b/>
          <w:bCs/>
          <w:sz w:val="32"/>
          <w:szCs w:val="18"/>
        </w:rPr>
        <w:t>供参考</w:t>
      </w:r>
      <w:r>
        <w:rPr>
          <w:rStyle w:val="185"/>
          <w:rFonts w:hAnsi="宋体"/>
          <w:b/>
          <w:bCs/>
          <w:sz w:val="32"/>
          <w:szCs w:val="18"/>
        </w:rPr>
        <w:t>)</w:t>
      </w:r>
      <w:bookmarkEnd w:id="33"/>
      <w:bookmarkEnd w:id="34"/>
      <w:bookmarkEnd w:id="35"/>
    </w:p>
    <w:p>
      <w:pPr>
        <w:pStyle w:val="95"/>
        <w:adjustRightInd w:val="0"/>
        <w:snapToGrid w:val="0"/>
        <w:spacing w:line="300" w:lineRule="auto"/>
        <w:jc w:val="left"/>
        <w:rPr>
          <w:rFonts w:ascii="宋体"/>
          <w:sz w:val="24"/>
        </w:rPr>
      </w:pPr>
    </w:p>
    <w:p>
      <w:pPr>
        <w:pStyle w:val="95"/>
        <w:adjustRightInd w:val="0"/>
        <w:snapToGrid w:val="0"/>
        <w:spacing w:line="360" w:lineRule="auto"/>
        <w:rPr>
          <w:rFonts w:ascii="宋体" w:cs="Arial"/>
          <w:b/>
          <w:sz w:val="24"/>
        </w:rPr>
      </w:pPr>
      <w:r>
        <w:rPr>
          <w:rFonts w:hint="eastAsia" w:ascii="宋体" w:hAnsi="宋体" w:cs="Arial"/>
          <w:sz w:val="24"/>
        </w:rPr>
        <w:t>甲方（采购人）：</w:t>
      </w:r>
    </w:p>
    <w:p>
      <w:pPr>
        <w:pStyle w:val="95"/>
        <w:adjustRightInd w:val="0"/>
        <w:snapToGrid w:val="0"/>
        <w:spacing w:line="360" w:lineRule="auto"/>
        <w:rPr>
          <w:rFonts w:ascii="宋体" w:cs="Arial"/>
          <w:sz w:val="24"/>
        </w:rPr>
      </w:pPr>
      <w:r>
        <w:rPr>
          <w:rFonts w:hint="eastAsia" w:ascii="宋体" w:hAnsi="宋体" w:cs="Arial"/>
          <w:sz w:val="24"/>
        </w:rPr>
        <w:t>乙方（成交供应商）：</w:t>
      </w:r>
    </w:p>
    <w:p>
      <w:pPr>
        <w:pStyle w:val="95"/>
        <w:adjustRightInd w:val="0"/>
        <w:snapToGrid w:val="0"/>
        <w:spacing w:line="360" w:lineRule="auto"/>
        <w:ind w:firstLine="480" w:firstLineChars="200"/>
        <w:rPr>
          <w:rFonts w:ascii="宋体" w:cs="Arial"/>
          <w:sz w:val="24"/>
        </w:rPr>
      </w:pPr>
    </w:p>
    <w:p>
      <w:pPr>
        <w:pStyle w:val="95"/>
        <w:adjustRightInd w:val="0"/>
        <w:snapToGrid w:val="0"/>
        <w:spacing w:line="360" w:lineRule="auto"/>
        <w:ind w:firstLine="482" w:firstLineChars="200"/>
        <w:rPr>
          <w:rFonts w:ascii="宋体" w:cs="Arial"/>
          <w:b/>
          <w:sz w:val="24"/>
        </w:rPr>
      </w:pPr>
      <w:r>
        <w:rPr>
          <w:rFonts w:hint="eastAsia" w:ascii="宋体" w:hAnsi="宋体" w:cs="Arial"/>
          <w:b/>
          <w:sz w:val="24"/>
        </w:rPr>
        <w:t>第一条目的与依据</w:t>
      </w:r>
    </w:p>
    <w:p>
      <w:pPr>
        <w:pStyle w:val="95"/>
        <w:adjustRightInd w:val="0"/>
        <w:snapToGrid w:val="0"/>
        <w:spacing w:line="360" w:lineRule="auto"/>
        <w:ind w:firstLine="480" w:firstLineChars="200"/>
        <w:rPr>
          <w:rFonts w:ascii="宋体" w:cs="Arial"/>
          <w:sz w:val="24"/>
        </w:rPr>
      </w:pPr>
      <w:r>
        <w:rPr>
          <w:rFonts w:hint="eastAsia" w:ascii="宋体" w:hAnsi="宋体" w:cs="Arial"/>
          <w:sz w:val="24"/>
        </w:rPr>
        <w:t>为了明确双方的权利义务</w:t>
      </w:r>
      <w:r>
        <w:rPr>
          <w:rFonts w:ascii="宋体" w:cs="Arial"/>
          <w:sz w:val="24"/>
        </w:rPr>
        <w:t>,</w:t>
      </w:r>
      <w:r>
        <w:rPr>
          <w:rFonts w:hint="eastAsia" w:ascii="宋体" w:hAnsi="宋体" w:cs="Arial"/>
          <w:sz w:val="24"/>
        </w:rPr>
        <w:t>根据中华人民共和国《民法典》、《政府采购法》和其他相关的法律法规，甲乙双方在平等自愿、协商一致的基础上，结合本</w:t>
      </w:r>
      <w:r>
        <w:rPr>
          <w:rFonts w:hint="eastAsia" w:ascii="宋体" w:hAnsi="宋体"/>
          <w:sz w:val="24"/>
        </w:rPr>
        <w:t>采购项目之</w:t>
      </w:r>
      <w:r>
        <w:rPr>
          <w:rFonts w:hint="eastAsia" w:ascii="宋体" w:hAnsi="宋体" w:cs="Arial"/>
          <w:sz w:val="24"/>
        </w:rPr>
        <w:t>谈判文件，签订本合同。</w:t>
      </w:r>
    </w:p>
    <w:p>
      <w:pPr>
        <w:pStyle w:val="95"/>
        <w:adjustRightInd w:val="0"/>
        <w:snapToGrid w:val="0"/>
        <w:spacing w:before="156" w:beforeLines="50" w:line="360" w:lineRule="auto"/>
        <w:ind w:firstLine="472" w:firstLineChars="196"/>
        <w:rPr>
          <w:rFonts w:ascii="宋体"/>
          <w:b/>
          <w:sz w:val="24"/>
        </w:rPr>
      </w:pPr>
      <w:r>
        <w:rPr>
          <w:rFonts w:hint="eastAsia" w:ascii="宋体" w:hAnsi="宋体"/>
          <w:b/>
          <w:sz w:val="24"/>
        </w:rPr>
        <w:t>第二条　乙方声明条款</w:t>
      </w:r>
    </w:p>
    <w:p>
      <w:pPr>
        <w:pStyle w:val="95"/>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、对于本合同有关的《谈判文件》以</w:t>
      </w:r>
      <w:r>
        <w:rPr>
          <w:rFonts w:hint="eastAsia" w:ascii="宋体" w:hAnsi="宋体"/>
          <w:bCs/>
          <w:sz w:val="24"/>
        </w:rPr>
        <w:t>及本合同条款，</w:t>
      </w:r>
      <w:r>
        <w:rPr>
          <w:rFonts w:hint="eastAsia" w:ascii="宋体" w:hAnsi="宋体"/>
          <w:sz w:val="24"/>
        </w:rPr>
        <w:t>乙方</w:t>
      </w:r>
      <w:r>
        <w:rPr>
          <w:rFonts w:hint="eastAsia" w:ascii="宋体" w:hAnsi="宋体"/>
          <w:bCs/>
          <w:sz w:val="24"/>
        </w:rPr>
        <w:t>已认真阅读和分析；对合同内容不存在误解；如有不利后果，自愿放弃因自己工作失误或存在误解之抗辩。</w:t>
      </w:r>
    </w:p>
    <w:p>
      <w:pPr>
        <w:pStyle w:val="95"/>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、合同总价，与乙方的投标报价相同，且均为含税价；因漏报、少报项目价款或费用，均视为已全部包含于本合同总价内。如有争议，必须按不利于乙方进行解释并据此执行。</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乙方在《响应文件》中作出的优于《谈判文件》中的“用户要求”或“商务要求”所设定的质量或技术之标准、指标、参数、标值、性能、环保与节能标准、附件或赠与、技术或信息服务与支持、售后服务以及其他任何优厚条件之表示，即使在本合同中没有相应的文字体现或表述，或即使未经甲方签字，亦应视为本合同的有效组成部分。</w:t>
      </w:r>
    </w:p>
    <w:p>
      <w:pPr>
        <w:pStyle w:val="95"/>
        <w:adjustRightInd w:val="0"/>
        <w:snapToGrid w:val="0"/>
        <w:spacing w:before="156" w:beforeLines="50" w:line="360" w:lineRule="auto"/>
        <w:ind w:firstLine="482" w:firstLineChars="200"/>
        <w:rPr>
          <w:rFonts w:ascii="宋体"/>
          <w:b/>
          <w:sz w:val="24"/>
        </w:rPr>
      </w:pPr>
      <w:r>
        <w:rPr>
          <w:rFonts w:hint="eastAsia" w:ascii="宋体" w:hAnsi="宋体"/>
          <w:b/>
          <w:sz w:val="24"/>
        </w:rPr>
        <w:t>第三条　采购项目招投标情况</w:t>
      </w:r>
    </w:p>
    <w:p>
      <w:pPr>
        <w:pStyle w:val="95"/>
        <w:adjustRightInd w:val="0"/>
        <w:snapToGrid w:val="0"/>
        <w:spacing w:line="360" w:lineRule="auto"/>
        <w:ind w:firstLine="720" w:firstLineChars="300"/>
        <w:rPr>
          <w:rFonts w:ascii="宋体"/>
          <w:sz w:val="24"/>
        </w:rPr>
      </w:pPr>
      <w:r>
        <w:rPr>
          <w:rFonts w:ascii="宋体" w:hAnsi="宋体"/>
          <w:sz w:val="24"/>
        </w:rPr>
        <w:t>1</w:t>
      </w:r>
      <w:r>
        <w:rPr>
          <w:rFonts w:hint="eastAsia" w:ascii="宋体" w:hAnsi="宋体"/>
          <w:sz w:val="24"/>
        </w:rPr>
        <w:t>、项目名称：</w:t>
      </w:r>
    </w:p>
    <w:p>
      <w:pPr>
        <w:pStyle w:val="95"/>
        <w:adjustRightInd w:val="0"/>
        <w:snapToGrid w:val="0"/>
        <w:spacing w:line="360" w:lineRule="auto"/>
        <w:ind w:firstLine="720" w:firstLineChars="300"/>
        <w:rPr>
          <w:rFonts w:ascii="宋体"/>
          <w:sz w:val="24"/>
        </w:rPr>
      </w:pPr>
      <w:r>
        <w:rPr>
          <w:rFonts w:ascii="宋体" w:hAnsi="宋体"/>
          <w:sz w:val="24"/>
        </w:rPr>
        <w:t>2</w:t>
      </w:r>
      <w:r>
        <w:rPr>
          <w:rFonts w:hint="eastAsia" w:ascii="宋体" w:hAnsi="宋体"/>
          <w:sz w:val="24"/>
        </w:rPr>
        <w:t>、项目及《谈判文件》编号：</w:t>
      </w:r>
    </w:p>
    <w:p>
      <w:pPr>
        <w:pStyle w:val="95"/>
        <w:adjustRightInd w:val="0"/>
        <w:snapToGrid w:val="0"/>
        <w:spacing w:line="360" w:lineRule="auto"/>
        <w:ind w:firstLine="720" w:firstLineChars="300"/>
        <w:rPr>
          <w:rFonts w:ascii="宋体"/>
          <w:sz w:val="24"/>
        </w:rPr>
      </w:pPr>
      <w:r>
        <w:rPr>
          <w:rFonts w:ascii="宋体" w:hAnsi="宋体"/>
          <w:sz w:val="24"/>
        </w:rPr>
        <w:t>3</w:t>
      </w:r>
      <w:r>
        <w:rPr>
          <w:rFonts w:hint="eastAsia" w:ascii="宋体" w:hAnsi="宋体"/>
          <w:sz w:val="24"/>
        </w:rPr>
        <w:t>、招标代理机构名称：</w:t>
      </w:r>
    </w:p>
    <w:p>
      <w:pPr>
        <w:pStyle w:val="95"/>
        <w:adjustRightInd w:val="0"/>
        <w:snapToGrid w:val="0"/>
        <w:spacing w:line="360" w:lineRule="auto"/>
        <w:ind w:firstLine="720" w:firstLineChars="300"/>
        <w:rPr>
          <w:rFonts w:ascii="宋体"/>
          <w:b/>
          <w:bCs/>
          <w:sz w:val="24"/>
        </w:rPr>
      </w:pPr>
      <w:r>
        <w:rPr>
          <w:rFonts w:ascii="宋体" w:hAnsi="宋体"/>
          <w:sz w:val="24"/>
        </w:rPr>
        <w:t>4</w:t>
      </w:r>
      <w:r>
        <w:rPr>
          <w:rFonts w:hint="eastAsia" w:ascii="宋体" w:hAnsi="宋体"/>
          <w:sz w:val="24"/>
        </w:rPr>
        <w:t>、投标中标联合体成员：</w:t>
      </w:r>
      <w:r>
        <w:rPr>
          <w:rFonts w:hint="eastAsia" w:ascii="宋体" w:hAnsi="宋体"/>
          <w:b/>
          <w:bCs/>
          <w:sz w:val="24"/>
        </w:rPr>
        <w:t>（</w:t>
      </w:r>
      <w:r>
        <w:rPr>
          <w:rFonts w:ascii="宋体" w:hAnsi="宋体"/>
          <w:b/>
          <w:bCs/>
          <w:sz w:val="24"/>
        </w:rPr>
        <w:t>1</w:t>
      </w:r>
      <w:r>
        <w:rPr>
          <w:rFonts w:hint="eastAsia" w:ascii="宋体" w:hAnsi="宋体"/>
          <w:b/>
          <w:bCs/>
          <w:sz w:val="24"/>
        </w:rPr>
        <w:t>）</w:t>
      </w:r>
      <w:r>
        <w:rPr>
          <w:rFonts w:hint="eastAsia" w:ascii="宋体" w:hAnsi="宋体"/>
          <w:b/>
          <w:bCs/>
          <w:sz w:val="24"/>
          <w:u w:val="single"/>
        </w:rPr>
        <w:t>　　　　　　</w:t>
      </w:r>
      <w:r>
        <w:rPr>
          <w:rFonts w:hint="eastAsia" w:ascii="宋体" w:hAnsi="宋体"/>
          <w:b/>
          <w:bCs/>
          <w:sz w:val="24"/>
        </w:rPr>
        <w:t>；（</w:t>
      </w:r>
      <w:r>
        <w:rPr>
          <w:rFonts w:ascii="宋体" w:hAnsi="宋体"/>
          <w:b/>
          <w:bCs/>
          <w:sz w:val="24"/>
        </w:rPr>
        <w:t>2</w:t>
      </w:r>
      <w:r>
        <w:rPr>
          <w:rFonts w:hint="eastAsia" w:ascii="宋体" w:hAnsi="宋体"/>
          <w:b/>
          <w:bCs/>
          <w:sz w:val="24"/>
        </w:rPr>
        <w:t>）</w:t>
      </w:r>
      <w:r>
        <w:rPr>
          <w:rFonts w:hint="eastAsia" w:ascii="宋体" w:hAnsi="宋体"/>
          <w:b/>
          <w:bCs/>
          <w:sz w:val="24"/>
          <w:u w:val="single"/>
        </w:rPr>
        <w:t>　　　　　　</w:t>
      </w:r>
      <w:r>
        <w:rPr>
          <w:rFonts w:hint="eastAsia" w:ascii="宋体" w:hAnsi="宋体"/>
          <w:b/>
          <w:bCs/>
          <w:sz w:val="24"/>
        </w:rPr>
        <w:t>。</w:t>
      </w:r>
    </w:p>
    <w:p>
      <w:pPr>
        <w:pStyle w:val="95"/>
        <w:tabs>
          <w:tab w:val="left" w:pos="6300"/>
        </w:tabs>
        <w:adjustRightInd w:val="0"/>
        <w:snapToGrid w:val="0"/>
        <w:spacing w:before="156" w:beforeLines="50" w:line="360" w:lineRule="auto"/>
        <w:ind w:firstLine="482" w:firstLineChars="200"/>
        <w:rPr>
          <w:rFonts w:ascii="宋体"/>
          <w:b/>
          <w:bCs/>
          <w:sz w:val="24"/>
        </w:rPr>
      </w:pPr>
      <w:r>
        <w:rPr>
          <w:rFonts w:hint="eastAsia" w:ascii="宋体" w:hAnsi="宋体"/>
          <w:b/>
          <w:bCs/>
          <w:sz w:val="24"/>
        </w:rPr>
        <w:t>第四条　合同标的（货物）与合同价格构成</w:t>
      </w:r>
      <w:r>
        <w:rPr>
          <w:rFonts w:ascii="宋体"/>
          <w:b/>
          <w:bCs/>
          <w:sz w:val="24"/>
        </w:rPr>
        <w:tab/>
      </w:r>
    </w:p>
    <w:p>
      <w:pPr>
        <w:pStyle w:val="95"/>
        <w:adjustRightInd w:val="0"/>
        <w:snapToGrid w:val="0"/>
        <w:spacing w:line="360" w:lineRule="auto"/>
        <w:ind w:left="480"/>
        <w:rPr>
          <w:rFonts w:ascii="宋体"/>
          <w:bCs/>
          <w:sz w:val="24"/>
        </w:rPr>
      </w:pPr>
      <w:r>
        <w:rPr>
          <w:rFonts w:ascii="宋体" w:hAnsi="宋体"/>
          <w:bCs/>
          <w:sz w:val="24"/>
        </w:rPr>
        <w:t>1</w:t>
      </w:r>
      <w:r>
        <w:rPr>
          <w:rFonts w:hint="eastAsia" w:ascii="宋体" w:hAnsi="宋体"/>
          <w:bCs/>
          <w:sz w:val="24"/>
        </w:rPr>
        <w:t>、</w:t>
      </w:r>
      <w:r>
        <w:rPr>
          <w:rFonts w:hint="eastAsia" w:ascii="宋体" w:hAnsi="宋体"/>
          <w:sz w:val="24"/>
        </w:rPr>
        <w:t>货物</w:t>
      </w:r>
      <w:r>
        <w:rPr>
          <w:rFonts w:hint="eastAsia" w:ascii="宋体" w:hAnsi="宋体"/>
          <w:bCs/>
          <w:sz w:val="24"/>
        </w:rPr>
        <w:t>基本情况（</w:t>
      </w:r>
      <w:r>
        <w:rPr>
          <w:rFonts w:hint="eastAsia" w:ascii="宋体" w:hAnsi="宋体"/>
          <w:sz w:val="24"/>
        </w:rPr>
        <w:t>列表不能全面载明的，另见附件：</w:t>
      </w:r>
      <w:r>
        <w:rPr>
          <w:rFonts w:hint="eastAsia" w:ascii="宋体" w:hAnsi="宋体"/>
          <w:b/>
          <w:sz w:val="24"/>
        </w:rPr>
        <w:t>《合同货物清单》）。</w:t>
      </w:r>
    </w:p>
    <w:tbl>
      <w:tblPr>
        <w:tblStyle w:val="39"/>
        <w:tblW w:w="9351"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30" w:type="dxa"/>
          <w:left w:w="30" w:type="dxa"/>
          <w:bottom w:w="30" w:type="dxa"/>
          <w:right w:w="30" w:type="dxa"/>
        </w:tblCellMar>
      </w:tblPr>
      <w:tblGrid>
        <w:gridCol w:w="540"/>
        <w:gridCol w:w="1260"/>
        <w:gridCol w:w="986"/>
        <w:gridCol w:w="1080"/>
        <w:gridCol w:w="900"/>
        <w:gridCol w:w="523"/>
        <w:gridCol w:w="685"/>
        <w:gridCol w:w="1132"/>
        <w:gridCol w:w="985"/>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0" w:type="dxa"/>
            <w:left w:w="30" w:type="dxa"/>
            <w:bottom w:w="30" w:type="dxa"/>
            <w:right w:w="30" w:type="dxa"/>
          </w:tblCellMar>
        </w:tblPrEx>
        <w:trPr>
          <w:tblCellSpacing w:w="0" w:type="dxa"/>
          <w:jc w:val="center"/>
        </w:trPr>
        <w:tc>
          <w:tcPr>
            <w:tcW w:w="540" w:type="dxa"/>
            <w:vAlign w:val="center"/>
          </w:tcPr>
          <w:p>
            <w:pPr>
              <w:pStyle w:val="95"/>
              <w:adjustRightInd w:val="0"/>
              <w:snapToGrid w:val="0"/>
              <w:spacing w:line="360" w:lineRule="auto"/>
              <w:jc w:val="center"/>
              <w:rPr>
                <w:rFonts w:ascii="宋体"/>
                <w:sz w:val="24"/>
              </w:rPr>
            </w:pPr>
            <w:r>
              <w:rPr>
                <w:rFonts w:hint="eastAsia" w:ascii="宋体" w:hAnsi="宋体"/>
                <w:sz w:val="24"/>
              </w:rPr>
              <w:t>序号</w:t>
            </w:r>
          </w:p>
        </w:tc>
        <w:tc>
          <w:tcPr>
            <w:tcW w:w="1260" w:type="dxa"/>
            <w:vAlign w:val="center"/>
          </w:tcPr>
          <w:p>
            <w:pPr>
              <w:pStyle w:val="95"/>
              <w:adjustRightInd w:val="0"/>
              <w:snapToGrid w:val="0"/>
              <w:spacing w:line="360" w:lineRule="auto"/>
              <w:rPr>
                <w:rFonts w:ascii="宋体"/>
                <w:sz w:val="24"/>
              </w:rPr>
            </w:pPr>
            <w:r>
              <w:rPr>
                <w:rFonts w:hint="eastAsia" w:ascii="宋体" w:hAnsi="宋体"/>
                <w:sz w:val="24"/>
              </w:rPr>
              <w:t>货物名称</w:t>
            </w:r>
          </w:p>
        </w:tc>
        <w:tc>
          <w:tcPr>
            <w:tcW w:w="986" w:type="dxa"/>
            <w:vAlign w:val="center"/>
          </w:tcPr>
          <w:p>
            <w:pPr>
              <w:pStyle w:val="95"/>
              <w:adjustRightInd w:val="0"/>
              <w:snapToGrid w:val="0"/>
              <w:spacing w:line="360" w:lineRule="auto"/>
              <w:rPr>
                <w:rFonts w:ascii="宋体"/>
                <w:sz w:val="24"/>
              </w:rPr>
            </w:pPr>
            <w:r>
              <w:rPr>
                <w:rFonts w:hint="eastAsia" w:ascii="宋体" w:hAnsi="宋体"/>
                <w:sz w:val="24"/>
              </w:rPr>
              <w:t>型号、规格</w:t>
            </w:r>
          </w:p>
        </w:tc>
        <w:tc>
          <w:tcPr>
            <w:tcW w:w="1080" w:type="dxa"/>
            <w:vAlign w:val="center"/>
          </w:tcPr>
          <w:p>
            <w:pPr>
              <w:pStyle w:val="95"/>
              <w:adjustRightInd w:val="0"/>
              <w:snapToGrid w:val="0"/>
              <w:spacing w:line="360" w:lineRule="auto"/>
              <w:rPr>
                <w:rFonts w:ascii="宋体"/>
                <w:sz w:val="24"/>
              </w:rPr>
            </w:pPr>
            <w:r>
              <w:rPr>
                <w:rFonts w:hint="eastAsia" w:ascii="宋体" w:hAnsi="宋体"/>
                <w:sz w:val="24"/>
              </w:rPr>
              <w:t>厂商名称</w:t>
            </w:r>
          </w:p>
        </w:tc>
        <w:tc>
          <w:tcPr>
            <w:tcW w:w="900" w:type="dxa"/>
            <w:vAlign w:val="center"/>
          </w:tcPr>
          <w:p>
            <w:pPr>
              <w:pStyle w:val="95"/>
              <w:adjustRightInd w:val="0"/>
              <w:snapToGrid w:val="0"/>
              <w:spacing w:line="360" w:lineRule="auto"/>
              <w:rPr>
                <w:rFonts w:ascii="宋体"/>
                <w:sz w:val="24"/>
              </w:rPr>
            </w:pPr>
            <w:r>
              <w:rPr>
                <w:rFonts w:hint="eastAsia" w:ascii="宋体" w:hAnsi="宋体"/>
                <w:sz w:val="24"/>
              </w:rPr>
              <w:t>产地</w:t>
            </w:r>
          </w:p>
        </w:tc>
        <w:tc>
          <w:tcPr>
            <w:tcW w:w="523" w:type="dxa"/>
            <w:vAlign w:val="center"/>
          </w:tcPr>
          <w:p>
            <w:pPr>
              <w:pStyle w:val="95"/>
              <w:adjustRightInd w:val="0"/>
              <w:snapToGrid w:val="0"/>
              <w:spacing w:line="360" w:lineRule="auto"/>
              <w:rPr>
                <w:rFonts w:ascii="宋体"/>
                <w:sz w:val="24"/>
              </w:rPr>
            </w:pPr>
            <w:r>
              <w:rPr>
                <w:rFonts w:hint="eastAsia" w:ascii="宋体" w:hAnsi="宋体"/>
                <w:sz w:val="24"/>
              </w:rPr>
              <w:t>数量</w:t>
            </w:r>
          </w:p>
        </w:tc>
        <w:tc>
          <w:tcPr>
            <w:tcW w:w="685" w:type="dxa"/>
            <w:vAlign w:val="center"/>
          </w:tcPr>
          <w:p>
            <w:pPr>
              <w:pStyle w:val="95"/>
              <w:adjustRightInd w:val="0"/>
              <w:snapToGrid w:val="0"/>
              <w:spacing w:line="360" w:lineRule="auto"/>
              <w:rPr>
                <w:rFonts w:ascii="宋体"/>
                <w:sz w:val="24"/>
              </w:rPr>
            </w:pPr>
            <w:r>
              <w:rPr>
                <w:rFonts w:hint="eastAsia" w:ascii="宋体" w:hAnsi="宋体"/>
                <w:sz w:val="24"/>
              </w:rPr>
              <w:t>计量</w:t>
            </w:r>
          </w:p>
          <w:p>
            <w:pPr>
              <w:pStyle w:val="95"/>
              <w:adjustRightInd w:val="0"/>
              <w:snapToGrid w:val="0"/>
              <w:spacing w:line="360" w:lineRule="auto"/>
              <w:rPr>
                <w:rFonts w:ascii="宋体"/>
                <w:sz w:val="24"/>
              </w:rPr>
            </w:pPr>
            <w:r>
              <w:rPr>
                <w:rFonts w:hint="eastAsia" w:ascii="宋体" w:hAnsi="宋体"/>
                <w:sz w:val="24"/>
              </w:rPr>
              <w:t>单位</w:t>
            </w:r>
          </w:p>
        </w:tc>
        <w:tc>
          <w:tcPr>
            <w:tcW w:w="1132" w:type="dxa"/>
            <w:vAlign w:val="center"/>
          </w:tcPr>
          <w:p>
            <w:pPr>
              <w:pStyle w:val="95"/>
              <w:adjustRightInd w:val="0"/>
              <w:snapToGrid w:val="0"/>
              <w:spacing w:line="360" w:lineRule="auto"/>
              <w:rPr>
                <w:rFonts w:ascii="宋体"/>
                <w:sz w:val="24"/>
              </w:rPr>
            </w:pPr>
            <w:r>
              <w:rPr>
                <w:rFonts w:hint="eastAsia" w:ascii="宋体" w:hAnsi="宋体"/>
                <w:sz w:val="24"/>
              </w:rPr>
              <w:t>附件配置（配件、工具等）</w:t>
            </w:r>
          </w:p>
        </w:tc>
        <w:tc>
          <w:tcPr>
            <w:tcW w:w="985" w:type="dxa"/>
            <w:vAlign w:val="center"/>
          </w:tcPr>
          <w:p>
            <w:pPr>
              <w:pStyle w:val="95"/>
              <w:adjustRightInd w:val="0"/>
              <w:snapToGrid w:val="0"/>
              <w:spacing w:line="360" w:lineRule="auto"/>
              <w:jc w:val="center"/>
              <w:rPr>
                <w:rFonts w:ascii="宋体"/>
                <w:sz w:val="24"/>
              </w:rPr>
            </w:pPr>
            <w:r>
              <w:rPr>
                <w:rFonts w:hint="eastAsia" w:ascii="宋体" w:hAnsi="宋体"/>
                <w:sz w:val="24"/>
              </w:rPr>
              <w:t>单价</w:t>
            </w:r>
          </w:p>
        </w:tc>
        <w:tc>
          <w:tcPr>
            <w:tcW w:w="1260" w:type="dxa"/>
            <w:vAlign w:val="center"/>
          </w:tcPr>
          <w:p>
            <w:pPr>
              <w:pStyle w:val="95"/>
              <w:adjustRightInd w:val="0"/>
              <w:snapToGrid w:val="0"/>
              <w:spacing w:line="360" w:lineRule="auto"/>
              <w:jc w:val="center"/>
              <w:rPr>
                <w:rFonts w:ascii="宋体"/>
                <w:sz w:val="24"/>
              </w:rPr>
            </w:pPr>
            <w:r>
              <w:rPr>
                <w:rFonts w:hint="eastAsia" w:ascii="宋体" w:hAnsi="宋体"/>
                <w:sz w:val="24"/>
              </w:rPr>
              <w:t>小计价</w:t>
            </w:r>
            <w:r>
              <w:rPr>
                <w:rFonts w:ascii="宋体" w:hAnsi="宋体"/>
                <w:sz w:val="24"/>
              </w:rPr>
              <w:t>(</w:t>
            </w:r>
            <w:r>
              <w:rPr>
                <w:rFonts w:hint="eastAsia" w:ascii="宋体" w:hAnsi="宋体"/>
                <w:sz w:val="24"/>
              </w:rPr>
              <w:t>元</w:t>
            </w:r>
            <w:r>
              <w:rPr>
                <w:rFonts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0" w:type="dxa"/>
            <w:left w:w="30" w:type="dxa"/>
            <w:bottom w:w="30" w:type="dxa"/>
            <w:right w:w="30" w:type="dxa"/>
          </w:tblCellMar>
        </w:tblPrEx>
        <w:trPr>
          <w:cantSplit/>
          <w:tblCellSpacing w:w="0" w:type="dxa"/>
          <w:jc w:val="center"/>
        </w:trPr>
        <w:tc>
          <w:tcPr>
            <w:tcW w:w="540" w:type="dxa"/>
            <w:vAlign w:val="center"/>
          </w:tcPr>
          <w:p>
            <w:pPr>
              <w:pStyle w:val="95"/>
              <w:spacing w:line="360" w:lineRule="auto"/>
              <w:jc w:val="center"/>
              <w:rPr>
                <w:rFonts w:ascii="宋体" w:cs="宋体"/>
              </w:rPr>
            </w:pPr>
          </w:p>
        </w:tc>
        <w:tc>
          <w:tcPr>
            <w:tcW w:w="1260" w:type="dxa"/>
            <w:vAlign w:val="center"/>
          </w:tcPr>
          <w:p>
            <w:pPr>
              <w:pStyle w:val="95"/>
              <w:spacing w:line="360" w:lineRule="auto"/>
              <w:jc w:val="center"/>
              <w:rPr>
                <w:rFonts w:ascii="宋体" w:cs="宋体"/>
              </w:rPr>
            </w:pPr>
          </w:p>
        </w:tc>
        <w:tc>
          <w:tcPr>
            <w:tcW w:w="986" w:type="dxa"/>
            <w:vAlign w:val="center"/>
          </w:tcPr>
          <w:p>
            <w:pPr>
              <w:pStyle w:val="95"/>
              <w:autoSpaceDE w:val="0"/>
              <w:autoSpaceDN w:val="0"/>
              <w:adjustRightInd w:val="0"/>
              <w:spacing w:line="360" w:lineRule="auto"/>
              <w:jc w:val="center"/>
              <w:rPr>
                <w:rFonts w:ascii="宋体" w:cs="宋体"/>
              </w:rPr>
            </w:pPr>
          </w:p>
        </w:tc>
        <w:tc>
          <w:tcPr>
            <w:tcW w:w="1080" w:type="dxa"/>
            <w:vAlign w:val="center"/>
          </w:tcPr>
          <w:p>
            <w:pPr>
              <w:pStyle w:val="95"/>
              <w:spacing w:line="360" w:lineRule="auto"/>
              <w:jc w:val="center"/>
              <w:rPr>
                <w:rFonts w:ascii="宋体" w:cs="宋体"/>
              </w:rPr>
            </w:pPr>
          </w:p>
        </w:tc>
        <w:tc>
          <w:tcPr>
            <w:tcW w:w="900" w:type="dxa"/>
            <w:vAlign w:val="center"/>
          </w:tcPr>
          <w:p>
            <w:pPr>
              <w:pStyle w:val="95"/>
              <w:spacing w:line="360" w:lineRule="auto"/>
              <w:jc w:val="center"/>
              <w:rPr>
                <w:rFonts w:ascii="宋体" w:cs="宋体"/>
              </w:rPr>
            </w:pPr>
          </w:p>
        </w:tc>
        <w:tc>
          <w:tcPr>
            <w:tcW w:w="523" w:type="dxa"/>
            <w:vAlign w:val="center"/>
          </w:tcPr>
          <w:p>
            <w:pPr>
              <w:pStyle w:val="95"/>
              <w:spacing w:line="360" w:lineRule="auto"/>
              <w:jc w:val="center"/>
              <w:rPr>
                <w:rFonts w:ascii="宋体" w:cs="宋体"/>
              </w:rPr>
            </w:pPr>
          </w:p>
        </w:tc>
        <w:tc>
          <w:tcPr>
            <w:tcW w:w="685" w:type="dxa"/>
            <w:vAlign w:val="center"/>
          </w:tcPr>
          <w:p>
            <w:pPr>
              <w:pStyle w:val="95"/>
              <w:spacing w:line="360" w:lineRule="auto"/>
              <w:jc w:val="center"/>
              <w:rPr>
                <w:rFonts w:ascii="宋体" w:cs="宋体"/>
                <w:sz w:val="24"/>
              </w:rPr>
            </w:pPr>
          </w:p>
        </w:tc>
        <w:tc>
          <w:tcPr>
            <w:tcW w:w="1132" w:type="dxa"/>
            <w:tcBorders>
              <w:top w:val="single" w:color="auto" w:sz="4" w:space="0"/>
              <w:bottom w:val="single" w:color="auto" w:sz="4" w:space="0"/>
            </w:tcBorders>
            <w:vAlign w:val="center"/>
          </w:tcPr>
          <w:p>
            <w:pPr>
              <w:pStyle w:val="95"/>
              <w:adjustRightInd w:val="0"/>
              <w:snapToGrid w:val="0"/>
              <w:spacing w:line="360" w:lineRule="auto"/>
              <w:jc w:val="center"/>
              <w:rPr>
                <w:rFonts w:ascii="宋体"/>
                <w:sz w:val="24"/>
              </w:rPr>
            </w:pPr>
          </w:p>
        </w:tc>
        <w:tc>
          <w:tcPr>
            <w:tcW w:w="985" w:type="dxa"/>
            <w:vAlign w:val="center"/>
          </w:tcPr>
          <w:p>
            <w:pPr>
              <w:pStyle w:val="95"/>
              <w:spacing w:line="360" w:lineRule="auto"/>
              <w:jc w:val="center"/>
            </w:pPr>
          </w:p>
        </w:tc>
        <w:tc>
          <w:tcPr>
            <w:tcW w:w="1260" w:type="dxa"/>
            <w:vAlign w:val="center"/>
          </w:tcPr>
          <w:p>
            <w:pPr>
              <w:pStyle w:val="95"/>
              <w:spacing w:line="360" w:lineRule="auto"/>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0" w:type="dxa"/>
            <w:left w:w="30" w:type="dxa"/>
            <w:bottom w:w="30" w:type="dxa"/>
            <w:right w:w="30" w:type="dxa"/>
          </w:tblCellMar>
        </w:tblPrEx>
        <w:trPr>
          <w:cantSplit/>
          <w:tblCellSpacing w:w="0" w:type="dxa"/>
          <w:jc w:val="center"/>
        </w:trPr>
        <w:tc>
          <w:tcPr>
            <w:tcW w:w="540" w:type="dxa"/>
            <w:vAlign w:val="center"/>
          </w:tcPr>
          <w:p>
            <w:pPr>
              <w:pStyle w:val="95"/>
              <w:spacing w:line="360" w:lineRule="auto"/>
              <w:jc w:val="center"/>
              <w:rPr>
                <w:rFonts w:ascii="宋体" w:cs="宋体"/>
              </w:rPr>
            </w:pPr>
          </w:p>
        </w:tc>
        <w:tc>
          <w:tcPr>
            <w:tcW w:w="1260" w:type="dxa"/>
            <w:vAlign w:val="center"/>
          </w:tcPr>
          <w:p>
            <w:pPr>
              <w:pStyle w:val="95"/>
              <w:spacing w:line="360" w:lineRule="auto"/>
              <w:jc w:val="center"/>
              <w:rPr>
                <w:rFonts w:ascii="宋体" w:cs="宋体"/>
              </w:rPr>
            </w:pPr>
          </w:p>
        </w:tc>
        <w:tc>
          <w:tcPr>
            <w:tcW w:w="986" w:type="dxa"/>
            <w:vAlign w:val="center"/>
          </w:tcPr>
          <w:p>
            <w:pPr>
              <w:pStyle w:val="95"/>
              <w:autoSpaceDE w:val="0"/>
              <w:autoSpaceDN w:val="0"/>
              <w:adjustRightInd w:val="0"/>
              <w:spacing w:line="360" w:lineRule="auto"/>
              <w:jc w:val="center"/>
              <w:rPr>
                <w:rFonts w:ascii="宋体" w:cs="宋体"/>
              </w:rPr>
            </w:pPr>
          </w:p>
        </w:tc>
        <w:tc>
          <w:tcPr>
            <w:tcW w:w="1080" w:type="dxa"/>
            <w:vAlign w:val="center"/>
          </w:tcPr>
          <w:p>
            <w:pPr>
              <w:pStyle w:val="95"/>
              <w:spacing w:line="360" w:lineRule="auto"/>
              <w:jc w:val="center"/>
              <w:rPr>
                <w:rFonts w:ascii="宋体" w:cs="宋体"/>
              </w:rPr>
            </w:pPr>
          </w:p>
        </w:tc>
        <w:tc>
          <w:tcPr>
            <w:tcW w:w="900" w:type="dxa"/>
            <w:vAlign w:val="center"/>
          </w:tcPr>
          <w:p>
            <w:pPr>
              <w:pStyle w:val="95"/>
              <w:adjustRightInd w:val="0"/>
              <w:snapToGrid w:val="0"/>
              <w:spacing w:line="360" w:lineRule="auto"/>
              <w:jc w:val="center"/>
              <w:rPr>
                <w:rFonts w:ascii="宋体"/>
                <w:sz w:val="24"/>
              </w:rPr>
            </w:pPr>
          </w:p>
        </w:tc>
        <w:tc>
          <w:tcPr>
            <w:tcW w:w="523" w:type="dxa"/>
            <w:vAlign w:val="center"/>
          </w:tcPr>
          <w:p>
            <w:pPr>
              <w:pStyle w:val="95"/>
              <w:spacing w:line="360" w:lineRule="auto"/>
              <w:jc w:val="center"/>
              <w:rPr>
                <w:rFonts w:ascii="宋体" w:cs="宋体"/>
              </w:rPr>
            </w:pPr>
          </w:p>
        </w:tc>
        <w:tc>
          <w:tcPr>
            <w:tcW w:w="685" w:type="dxa"/>
            <w:vAlign w:val="center"/>
          </w:tcPr>
          <w:p>
            <w:pPr>
              <w:pStyle w:val="95"/>
              <w:spacing w:line="360" w:lineRule="auto"/>
              <w:jc w:val="center"/>
              <w:rPr>
                <w:rFonts w:ascii="宋体" w:cs="宋体"/>
                <w:sz w:val="24"/>
              </w:rPr>
            </w:pPr>
          </w:p>
        </w:tc>
        <w:tc>
          <w:tcPr>
            <w:tcW w:w="1132" w:type="dxa"/>
            <w:tcBorders>
              <w:top w:val="single" w:color="auto" w:sz="4" w:space="0"/>
            </w:tcBorders>
            <w:vAlign w:val="center"/>
          </w:tcPr>
          <w:p>
            <w:pPr>
              <w:pStyle w:val="95"/>
              <w:adjustRightInd w:val="0"/>
              <w:snapToGrid w:val="0"/>
              <w:spacing w:line="360" w:lineRule="auto"/>
              <w:jc w:val="center"/>
              <w:rPr>
                <w:rFonts w:ascii="宋体"/>
                <w:sz w:val="24"/>
              </w:rPr>
            </w:pPr>
          </w:p>
        </w:tc>
        <w:tc>
          <w:tcPr>
            <w:tcW w:w="985" w:type="dxa"/>
            <w:vAlign w:val="center"/>
          </w:tcPr>
          <w:p>
            <w:pPr>
              <w:pStyle w:val="95"/>
              <w:spacing w:line="360" w:lineRule="auto"/>
              <w:jc w:val="center"/>
            </w:pPr>
          </w:p>
        </w:tc>
        <w:tc>
          <w:tcPr>
            <w:tcW w:w="1260" w:type="dxa"/>
            <w:vAlign w:val="center"/>
          </w:tcPr>
          <w:p>
            <w:pPr>
              <w:pStyle w:val="95"/>
              <w:spacing w:line="360" w:lineRule="auto"/>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0" w:type="dxa"/>
            <w:left w:w="30" w:type="dxa"/>
            <w:bottom w:w="30" w:type="dxa"/>
            <w:right w:w="30" w:type="dxa"/>
          </w:tblCellMar>
        </w:tblPrEx>
        <w:trPr>
          <w:cantSplit/>
          <w:tblCellSpacing w:w="0" w:type="dxa"/>
          <w:jc w:val="center"/>
        </w:trPr>
        <w:tc>
          <w:tcPr>
            <w:tcW w:w="9351" w:type="dxa"/>
            <w:gridSpan w:val="10"/>
            <w:vAlign w:val="center"/>
          </w:tcPr>
          <w:p>
            <w:pPr>
              <w:pStyle w:val="95"/>
              <w:adjustRightInd w:val="0"/>
              <w:snapToGrid w:val="0"/>
              <w:spacing w:line="360" w:lineRule="auto"/>
              <w:rPr>
                <w:rFonts w:ascii="宋体"/>
                <w:b/>
                <w:sz w:val="24"/>
              </w:rPr>
            </w:pPr>
            <w:r>
              <w:rPr>
                <w:rFonts w:hint="eastAsia" w:ascii="宋体" w:hAnsi="宋体"/>
                <w:b/>
                <w:sz w:val="24"/>
              </w:rPr>
              <w:t>合同总价（大写）</w:t>
            </w:r>
            <w:r>
              <w:rPr>
                <w:rFonts w:ascii="宋体" w:hAnsi="宋体"/>
                <w:b/>
                <w:sz w:val="24"/>
              </w:rPr>
              <w:t xml:space="preserve">: </w:t>
            </w:r>
            <w:r>
              <w:rPr>
                <w:rFonts w:hint="eastAsia" w:ascii="宋体" w:hAnsi="宋体"/>
                <w:b/>
                <w:sz w:val="24"/>
              </w:rPr>
              <w:t>人民币元整（￥元）</w:t>
            </w:r>
          </w:p>
        </w:tc>
      </w:tr>
    </w:tbl>
    <w:p>
      <w:pPr>
        <w:pStyle w:val="95"/>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、本合同所称“货物”，除上述第</w:t>
      </w:r>
      <w:r>
        <w:rPr>
          <w:rFonts w:ascii="宋体" w:hAnsi="宋体"/>
          <w:sz w:val="24"/>
        </w:rPr>
        <w:t>1</w:t>
      </w:r>
      <w:r>
        <w:rPr>
          <w:rFonts w:hint="eastAsia" w:ascii="宋体" w:hAnsi="宋体"/>
          <w:sz w:val="24"/>
        </w:rPr>
        <w:t>款所列货物（含附件配置）之外，还包括下述各项：</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）与之相一致的用户手册、说明书、维护手册等技术资料或有形物品；</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）支持该设备正常运行的配套性知识产权物品</w:t>
      </w:r>
      <w:r>
        <w:rPr>
          <w:rFonts w:ascii="宋体" w:hAnsi="宋体"/>
          <w:sz w:val="24"/>
        </w:rPr>
        <w:t>(</w:t>
      </w:r>
      <w:r>
        <w:rPr>
          <w:rFonts w:hint="eastAsia" w:ascii="宋体" w:hAnsi="宋体"/>
          <w:sz w:val="24"/>
        </w:rPr>
        <w:t>如软件或程序支持信息</w:t>
      </w:r>
      <w:r>
        <w:rPr>
          <w:rFonts w:ascii="宋体" w:hAnsi="宋体"/>
          <w:sz w:val="24"/>
        </w:rPr>
        <w:t>)</w:t>
      </w:r>
      <w:r>
        <w:rPr>
          <w:rFonts w:hint="eastAsia" w:ascii="宋体" w:hAnsi="宋体"/>
          <w:sz w:val="24"/>
        </w:rPr>
        <w:t>；</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）乙方应提供的服务（包括但不限于安装、调试、商检、技术咨询与培训、维修保养及其他有关售后服务等事项）；</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）于甲方预付了合同货款之情形，乙方必须向甲方提供的用于办理本合同财务结算所必备的合法有效、与本合同货物价款相一致的发票和相应的单证资料。</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、“合同总价”，是指并包括：</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合同项下的货物之所有权与风险正式转移甲方之前发生的在生产、流通、服务、货物交付等环节上的全部成本、各税种或税项下的税款，以及可能发生的一切费用（如包装、运输、装卸、安装、调试、检测、技术指导与培训或咨询、保险、商检、卫生检验检疫、非因甲方过错原因发生于海关或商检或检疫或检测以及运输至本合同指定地点等环节上发生的滞留费用、保管费、运输费用、罚款等</w:t>
      </w:r>
      <w:r>
        <w:rPr>
          <w:rFonts w:ascii="宋体" w:hAnsi="宋体"/>
          <w:sz w:val="24"/>
        </w:rPr>
        <w:t>)</w:t>
      </w:r>
      <w:r>
        <w:rPr>
          <w:rFonts w:hint="eastAsia" w:ascii="宋体" w:hAnsi="宋体"/>
          <w:sz w:val="24"/>
        </w:rPr>
        <w:t>；</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）对于进口货物，则还包括由海关征收或代征的增值税与关税等一切税种或税项下的税款、海关报关清关各环节上发生的一切手续或代理费用；</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）因履行本合同约定的售后服务而可能发生的费用，但是，本合同另有特别约定的收费（例如第九条约定的免费保修期满后的服务和零部件</w:t>
      </w:r>
      <w:r>
        <w:rPr>
          <w:rFonts w:hint="eastAsia" w:ascii="宋体" w:hAnsi="宋体" w:cs="黑体"/>
          <w:sz w:val="24"/>
        </w:rPr>
        <w:t>更换</w:t>
      </w:r>
      <w:r>
        <w:rPr>
          <w:rFonts w:hint="eastAsia" w:ascii="宋体" w:hAnsi="宋体"/>
          <w:sz w:val="24"/>
        </w:rPr>
        <w:t>）除外。</w:t>
      </w:r>
    </w:p>
    <w:p>
      <w:pPr>
        <w:pStyle w:val="95"/>
        <w:adjustRightInd w:val="0"/>
        <w:snapToGrid w:val="0"/>
        <w:spacing w:before="156" w:beforeLines="50" w:line="360" w:lineRule="auto"/>
        <w:ind w:firstLine="482" w:firstLineChars="200"/>
        <w:rPr>
          <w:rFonts w:ascii="宋体"/>
          <w:b/>
          <w:bCs/>
          <w:sz w:val="24"/>
        </w:rPr>
      </w:pPr>
      <w:r>
        <w:rPr>
          <w:rFonts w:hint="eastAsia" w:ascii="宋体" w:hAnsi="宋体"/>
          <w:b/>
          <w:sz w:val="24"/>
        </w:rPr>
        <w:t>第五条　</w:t>
      </w:r>
      <w:r>
        <w:rPr>
          <w:rFonts w:hint="eastAsia" w:ascii="宋体" w:hAnsi="宋体"/>
          <w:b/>
          <w:bCs/>
          <w:sz w:val="24"/>
        </w:rPr>
        <w:t>质量要求和技术标准</w:t>
      </w:r>
    </w:p>
    <w:p>
      <w:pPr>
        <w:pStyle w:val="95"/>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乙方交付的货物之质量、技术、环保、安全、卫生等标准必须符合中华人民共和国国家标准；国家标准为本合同执行的最低标准。但是，本合同约定的标准高于国家标准的，必须按该约定的标准执行，即使交付的货物符合国家标准，但不符合该约定标准，仍应视为违约并承担相应的违约责任。</w:t>
      </w:r>
    </w:p>
    <w:p>
      <w:pPr>
        <w:pStyle w:val="95"/>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、在既无约定的标准，亦无国家标准时，则按行业标准执行；无行业标准的，按商业惯例。</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、前两款中的“约定的标准”，是指：</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谈判文件》中的“用户要求”或“商务要求”所设定的质量标准和乙方在《响应文件》中对此作出的陈述或“响应”，或者在非以招投标方式订立本合同情形下在谈判报价文件中所确定的标准。凡乙方单方面在《响应文件》中作出的优于《谈判文件》所设定的质量标准、技术指标或参数、性能、环保或节能标准、赠与、附件、技术或信息服务与支持、售后服务以及其他任何优厚条件之陈述或意思表示，一旦与《谈判文件》设定的标准发生冲突，则按照“就优不就劣”的有利于甲方的原则进行解释与执行。</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）在采购过程中属于乙方送交了经甲方确认的货物样板的（甲乙双方共同签署《货物样板确认书》并封存成品样板），此样板即为验收标准，但实际交付的货物均应有产品质量检验合格标志。</w:t>
      </w:r>
    </w:p>
    <w:p>
      <w:pPr>
        <w:pStyle w:val="95"/>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rPr>
        <w:t>、乙方提供的货物必须是全新的、表面和内部均无瑕疵的原厂正品。</w:t>
      </w:r>
    </w:p>
    <w:p>
      <w:pPr>
        <w:pStyle w:val="95"/>
        <w:adjustRightInd w:val="0"/>
        <w:snapToGrid w:val="0"/>
        <w:spacing w:line="360" w:lineRule="auto"/>
        <w:ind w:firstLine="480" w:firstLineChars="200"/>
        <w:rPr>
          <w:rFonts w:ascii="宋体"/>
          <w:sz w:val="24"/>
        </w:rPr>
      </w:pPr>
      <w:r>
        <w:rPr>
          <w:rFonts w:ascii="宋体" w:hAnsi="宋体"/>
          <w:sz w:val="24"/>
        </w:rPr>
        <w:t>5</w:t>
      </w:r>
      <w:r>
        <w:rPr>
          <w:rFonts w:hint="eastAsia" w:ascii="宋体" w:hAnsi="宋体"/>
          <w:sz w:val="24"/>
        </w:rPr>
        <w:t>、包装和运输：</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）乙方应采取防潮、防雨、防冻、防锈、防盗、防火等相应安全措施对货物进行包装，确保货物在正常作业和装卸条件下安全无损地到达合同指定地点。</w:t>
      </w:r>
    </w:p>
    <w:p>
      <w:pPr>
        <w:pStyle w:val="95"/>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）包装箱及每一附件应注明货物名称、型号、件数、附件品名与数量，包装箱内应附有产品说明书、使用说明书或用户手册、质检合格证书、商检证明等。</w:t>
      </w:r>
    </w:p>
    <w:p>
      <w:pPr>
        <w:pStyle w:val="95"/>
        <w:tabs>
          <w:tab w:val="left" w:pos="540"/>
        </w:tabs>
        <w:adjustRightInd w:val="0"/>
        <w:snapToGrid w:val="0"/>
        <w:spacing w:before="156" w:beforeLines="50" w:line="360" w:lineRule="auto"/>
        <w:ind w:firstLine="482" w:firstLineChars="200"/>
        <w:rPr>
          <w:rFonts w:ascii="宋体"/>
          <w:sz w:val="24"/>
        </w:rPr>
      </w:pPr>
      <w:r>
        <w:rPr>
          <w:rFonts w:hint="eastAsia" w:ascii="宋体" w:hAnsi="宋体"/>
          <w:b/>
          <w:bCs/>
          <w:sz w:val="24"/>
        </w:rPr>
        <w:t>第六条货物所有权和风险转移</w:t>
      </w:r>
    </w:p>
    <w:p>
      <w:pPr>
        <w:pStyle w:val="95"/>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除另有特别约定外，合同项下的全部货物在办理了“初步验收”手续之时，货物所有权即转移至甲方且不以是否付款为必要条件。某项货物或部分货物办理了“初步验收”手续，仅该项货物或该部分货物所有权转移。</w:t>
      </w:r>
    </w:p>
    <w:p>
      <w:pPr>
        <w:pStyle w:val="95"/>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合同项下的货物自办理了“初步验收”手续之时起，货物丢失或被人为毁损之风险从乙方转移至甲方。但任何非人为毁损、灭失之风险，包括因货物自身质量或其自身物理、化学等自然特性而发生的风险，仍由乙方承担。</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、货物未经初步验收或者未经乙方同意，如甲方擅自使用，则该被擅自使用的货物视为已业经甲方初步验收。被擅自使用的货物之所有权和风险，分别按本条第</w:t>
      </w:r>
      <w:r>
        <w:rPr>
          <w:rFonts w:ascii="宋体" w:hAnsi="宋体"/>
          <w:sz w:val="24"/>
        </w:rPr>
        <w:t>1</w:t>
      </w:r>
      <w:r>
        <w:rPr>
          <w:rFonts w:hint="eastAsia" w:ascii="宋体" w:hAnsi="宋体"/>
          <w:sz w:val="24"/>
        </w:rPr>
        <w:t>款和第</w:t>
      </w:r>
      <w:r>
        <w:rPr>
          <w:rFonts w:ascii="宋体" w:hAnsi="宋体"/>
          <w:sz w:val="24"/>
        </w:rPr>
        <w:t>2</w:t>
      </w:r>
      <w:r>
        <w:rPr>
          <w:rFonts w:hint="eastAsia" w:ascii="宋体" w:hAnsi="宋体"/>
          <w:sz w:val="24"/>
        </w:rPr>
        <w:t>款处理。若甲方急需使用部分货物，可由双方协商解决并以书面补充协议为之。</w:t>
      </w:r>
    </w:p>
    <w:p>
      <w:pPr>
        <w:pStyle w:val="95"/>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rPr>
        <w:t>、在“初步验收”手续办理完毕之前，即使货物已送至甲方指定地点或安装场所，货物所有权与风险均不转移至甲方，甲方亦不负货物保管责任。</w:t>
      </w:r>
    </w:p>
    <w:p>
      <w:pPr>
        <w:pStyle w:val="95"/>
        <w:adjustRightInd w:val="0"/>
        <w:snapToGrid w:val="0"/>
        <w:spacing w:line="360" w:lineRule="auto"/>
        <w:ind w:firstLine="480" w:firstLineChars="200"/>
        <w:rPr>
          <w:rFonts w:ascii="宋体"/>
          <w:sz w:val="24"/>
        </w:rPr>
      </w:pPr>
      <w:r>
        <w:rPr>
          <w:rFonts w:ascii="宋体" w:hAnsi="宋体"/>
          <w:sz w:val="24"/>
        </w:rPr>
        <w:t>5</w:t>
      </w:r>
      <w:r>
        <w:rPr>
          <w:rFonts w:hint="eastAsia" w:ascii="宋体" w:hAnsi="宋体"/>
          <w:sz w:val="24"/>
        </w:rPr>
        <w:t>、在验收环节上，如果双方发生货物质量争议而需要进行鉴定或仲裁，于此期间，货物由甲方保管，风险由甲方承担，但乙方应承担相应的协助义务。</w:t>
      </w:r>
    </w:p>
    <w:p>
      <w:pPr>
        <w:pStyle w:val="95"/>
        <w:adjustRightInd w:val="0"/>
        <w:snapToGrid w:val="0"/>
        <w:spacing w:before="156" w:beforeLines="50" w:line="360" w:lineRule="auto"/>
        <w:ind w:firstLine="361" w:firstLineChars="150"/>
        <w:rPr>
          <w:rFonts w:ascii="宋体"/>
          <w:b/>
          <w:bCs/>
          <w:sz w:val="24"/>
        </w:rPr>
      </w:pPr>
      <w:r>
        <w:rPr>
          <w:rFonts w:hint="eastAsia" w:ascii="宋体" w:hAnsi="宋体"/>
          <w:b/>
          <w:bCs/>
          <w:sz w:val="24"/>
        </w:rPr>
        <w:t>第七条交货时间、地点和方式</w:t>
      </w:r>
    </w:p>
    <w:p>
      <w:pPr>
        <w:pStyle w:val="95"/>
        <w:adjustRightInd w:val="0"/>
        <w:snapToGrid w:val="0"/>
        <w:spacing w:line="360" w:lineRule="auto"/>
        <w:ind w:firstLine="480" w:firstLineChars="200"/>
        <w:rPr>
          <w:rFonts w:ascii="宋体"/>
          <w:b/>
          <w:bCs/>
          <w:sz w:val="24"/>
        </w:rPr>
      </w:pPr>
      <w:r>
        <w:rPr>
          <w:rFonts w:ascii="宋体" w:hAnsi="宋体"/>
          <w:sz w:val="24"/>
        </w:rPr>
        <w:t>1</w:t>
      </w:r>
      <w:r>
        <w:rPr>
          <w:rFonts w:hint="eastAsia" w:ascii="宋体" w:hAnsi="宋体"/>
          <w:sz w:val="24"/>
        </w:rPr>
        <w:t>、交货时间与地点：应在本合同签订之日起</w:t>
      </w:r>
      <w:r>
        <w:rPr>
          <w:rFonts w:hint="eastAsia" w:ascii="宋体" w:hAnsi="宋体"/>
          <w:b/>
          <w:sz w:val="24"/>
        </w:rPr>
        <w:t>的个日历天内</w:t>
      </w:r>
      <w:r>
        <w:rPr>
          <w:rFonts w:hint="eastAsia" w:ascii="宋体" w:hAnsi="宋体"/>
          <w:sz w:val="24"/>
        </w:rPr>
        <w:t>，将标的物运送至甲方指定的地点（需安装的，为指定的安装场所）。</w:t>
      </w:r>
      <w:r>
        <w:rPr>
          <w:rFonts w:hint="eastAsia" w:ascii="宋体" w:hAnsi="宋体"/>
          <w:b/>
          <w:sz w:val="24"/>
        </w:rPr>
        <w:t>具体地点为</w:t>
      </w:r>
      <w:r>
        <w:rPr>
          <w:rFonts w:hint="eastAsia" w:ascii="宋体" w:hAnsi="宋体"/>
          <w:b/>
          <w:sz w:val="24"/>
          <w:u w:val="single"/>
        </w:rPr>
        <w:t>　　</w:t>
      </w:r>
      <w:r>
        <w:rPr>
          <w:rFonts w:hint="eastAsia" w:ascii="宋体" w:hAnsi="宋体"/>
          <w:b/>
          <w:sz w:val="24"/>
        </w:rPr>
        <w:t>。</w:t>
      </w:r>
    </w:p>
    <w:p>
      <w:pPr>
        <w:pStyle w:val="95"/>
        <w:widowControl/>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、交货时应将与货物配套的用户手册、说明书、厂合格证明、电路图、软件或程序系统等技术资料一并交付给甲方。</w:t>
      </w:r>
    </w:p>
    <w:p>
      <w:pPr>
        <w:pStyle w:val="95"/>
        <w:widowControl/>
        <w:adjustRightInd w:val="0"/>
        <w:snapToGrid w:val="0"/>
        <w:spacing w:line="360" w:lineRule="auto"/>
        <w:ind w:firstLine="480" w:firstLineChars="200"/>
        <w:rPr>
          <w:rFonts w:ascii="宋体" w:cs="宋体"/>
          <w:kern w:val="0"/>
          <w:sz w:val="24"/>
        </w:rPr>
      </w:pPr>
      <w:r>
        <w:rPr>
          <w:rFonts w:ascii="宋体" w:hAnsi="宋体"/>
          <w:sz w:val="24"/>
        </w:rPr>
        <w:t>3</w:t>
      </w:r>
      <w:r>
        <w:rPr>
          <w:rFonts w:hint="eastAsia" w:ascii="宋体" w:hAnsi="宋体"/>
          <w:sz w:val="24"/>
        </w:rPr>
        <w:t>、上述第</w:t>
      </w:r>
      <w:r>
        <w:rPr>
          <w:rFonts w:ascii="宋体" w:hAnsi="宋体"/>
          <w:sz w:val="24"/>
        </w:rPr>
        <w:t>1</w:t>
      </w:r>
      <w:r>
        <w:rPr>
          <w:rFonts w:hint="eastAsia" w:ascii="宋体" w:hAnsi="宋体"/>
          <w:sz w:val="24"/>
        </w:rPr>
        <w:t>款、第</w:t>
      </w:r>
      <w:r>
        <w:rPr>
          <w:rFonts w:ascii="宋体" w:hAnsi="宋体"/>
          <w:sz w:val="24"/>
        </w:rPr>
        <w:t>2</w:t>
      </w:r>
      <w:r>
        <w:rPr>
          <w:rFonts w:hint="eastAsia" w:ascii="宋体" w:hAnsi="宋体"/>
          <w:sz w:val="24"/>
        </w:rPr>
        <w:t>款所列之配件、附属工具、技术资料和证明文件等，为本合同所称“货物”之不可分割的组成部分；</w:t>
      </w:r>
      <w:r>
        <w:rPr>
          <w:rFonts w:hint="eastAsia" w:ascii="宋体" w:hAnsi="宋体" w:cs="宋体"/>
          <w:kern w:val="0"/>
          <w:sz w:val="24"/>
        </w:rPr>
        <w:t>如迟延交付或未交付，则视为逾期交货或未交货，应依约承担违约或赔偿责任。</w:t>
      </w:r>
    </w:p>
    <w:p>
      <w:pPr>
        <w:pStyle w:val="95"/>
        <w:adjustRightInd w:val="0"/>
        <w:snapToGrid w:val="0"/>
        <w:spacing w:line="360" w:lineRule="auto"/>
        <w:ind w:firstLine="480" w:firstLineChars="200"/>
        <w:rPr>
          <w:rFonts w:ascii="宋体"/>
          <w:sz w:val="24"/>
          <w:u w:val="single"/>
        </w:rPr>
      </w:pPr>
      <w:r>
        <w:rPr>
          <w:rFonts w:ascii="宋体" w:hAnsi="宋体"/>
          <w:sz w:val="24"/>
        </w:rPr>
        <w:t>4</w:t>
      </w:r>
      <w:r>
        <w:rPr>
          <w:rFonts w:hint="eastAsia" w:ascii="宋体" w:hAnsi="宋体"/>
          <w:sz w:val="24"/>
        </w:rPr>
        <w:t>、交货方式：由乙方免费送货上门；需要安装的，应安装到位；需调试的，应调试完毕。需要技术培训的，应当在货物实际交付之日起</w:t>
      </w:r>
      <w:r>
        <w:rPr>
          <w:rFonts w:ascii="宋体" w:hAnsi="宋体"/>
          <w:sz w:val="24"/>
          <w:u w:val="single"/>
        </w:rPr>
        <w:t>5</w:t>
      </w:r>
      <w:r>
        <w:rPr>
          <w:rFonts w:hint="eastAsia" w:ascii="宋体" w:hAnsi="宋体"/>
          <w:sz w:val="24"/>
        </w:rPr>
        <w:t>天内完成技术培训。</w:t>
      </w:r>
    </w:p>
    <w:p>
      <w:pPr>
        <w:pStyle w:val="95"/>
        <w:adjustRightInd w:val="0"/>
        <w:snapToGrid w:val="0"/>
        <w:spacing w:line="360" w:lineRule="auto"/>
        <w:ind w:firstLine="480" w:firstLineChars="200"/>
        <w:rPr>
          <w:rFonts w:ascii="宋体"/>
          <w:b/>
          <w:sz w:val="24"/>
        </w:rPr>
      </w:pPr>
      <w:r>
        <w:rPr>
          <w:rFonts w:ascii="宋体" w:hAnsi="宋体"/>
          <w:sz w:val="24"/>
        </w:rPr>
        <w:t>5</w:t>
      </w:r>
      <w:r>
        <w:rPr>
          <w:rFonts w:hint="eastAsia" w:ascii="宋体" w:hAnsi="宋体"/>
          <w:sz w:val="24"/>
        </w:rPr>
        <w:t>、</w:t>
      </w:r>
      <w:r>
        <w:rPr>
          <w:rFonts w:hint="eastAsia" w:ascii="宋体" w:hAnsi="宋体"/>
          <w:b/>
          <w:sz w:val="24"/>
        </w:rPr>
        <w:t>安装要求如下：</w:t>
      </w:r>
    </w:p>
    <w:p>
      <w:pPr>
        <w:pStyle w:val="95"/>
        <w:adjustRightInd w:val="0"/>
        <w:snapToGrid w:val="0"/>
        <w:spacing w:line="360" w:lineRule="auto"/>
        <w:ind w:firstLine="420"/>
        <w:rPr>
          <w:rFonts w:ascii="宋体"/>
          <w:sz w:val="24"/>
        </w:rPr>
      </w:pPr>
      <w:r>
        <w:rPr>
          <w:rFonts w:ascii="宋体" w:hAnsi="宋体"/>
          <w:sz w:val="24"/>
        </w:rPr>
        <w:t>(1)</w:t>
      </w:r>
      <w:r>
        <w:rPr>
          <w:rFonts w:hint="eastAsia" w:ascii="宋体" w:hAnsi="宋体"/>
          <w:sz w:val="24"/>
        </w:rPr>
        <w:t>乙方应将货物安装于甲方</w:t>
      </w:r>
      <w:r>
        <w:rPr>
          <w:rFonts w:hint="eastAsia" w:ascii="宋体" w:hAnsi="宋体"/>
          <w:b/>
          <w:sz w:val="24"/>
        </w:rPr>
        <w:t>指定的地点</w:t>
      </w:r>
      <w:r>
        <w:rPr>
          <w:rFonts w:hint="eastAsia" w:ascii="宋体" w:hAnsi="宋体"/>
          <w:sz w:val="24"/>
        </w:rPr>
        <w:t>或场所</w:t>
      </w:r>
      <w:r>
        <w:rPr>
          <w:rFonts w:hint="eastAsia" w:ascii="宋体" w:hAnsi="宋体"/>
          <w:b/>
          <w:sz w:val="24"/>
        </w:rPr>
        <w:t>：。</w:t>
      </w:r>
    </w:p>
    <w:p>
      <w:pPr>
        <w:pStyle w:val="95"/>
        <w:adjustRightInd w:val="0"/>
        <w:snapToGrid w:val="0"/>
        <w:spacing w:line="360" w:lineRule="auto"/>
        <w:ind w:firstLine="420"/>
        <w:rPr>
          <w:rFonts w:ascii="宋体"/>
          <w:sz w:val="24"/>
        </w:rPr>
      </w:pPr>
      <w:r>
        <w:rPr>
          <w:rFonts w:ascii="宋体" w:hAnsi="宋体"/>
          <w:sz w:val="24"/>
        </w:rPr>
        <w:t>(2)</w:t>
      </w:r>
      <w:r>
        <w:rPr>
          <w:rFonts w:hint="eastAsia" w:ascii="宋体" w:hAnsi="宋体"/>
          <w:sz w:val="24"/>
        </w:rPr>
        <w:t>乙方应按图施工，并且不得对甲方的既存权利造成损害；</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乙方应当派遣相应的专业技术人员进行安装、调试，并且应按图施工。对乙方工作人员在安装、调试、交付过程中发生的生产安全事故，甲方不承担任何法律责任。</w:t>
      </w:r>
    </w:p>
    <w:p>
      <w:pPr>
        <w:pStyle w:val="95"/>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u w:val="single"/>
        </w:rPr>
        <w:t>货物如系成套设备，由应另行签订《成套设备安装合同》并作为本合同的附件。</w:t>
      </w:r>
    </w:p>
    <w:p>
      <w:pPr>
        <w:pStyle w:val="95"/>
        <w:adjustRightInd w:val="0"/>
        <w:snapToGrid w:val="0"/>
        <w:spacing w:line="360" w:lineRule="auto"/>
        <w:ind w:firstLine="480" w:firstLineChars="200"/>
        <w:rPr>
          <w:rFonts w:ascii="宋体"/>
          <w:sz w:val="24"/>
        </w:rPr>
      </w:pPr>
      <w:r>
        <w:rPr>
          <w:rFonts w:ascii="宋体" w:hAnsi="宋体"/>
          <w:sz w:val="24"/>
        </w:rPr>
        <w:t xml:space="preserve">(5) </w:t>
      </w:r>
      <w:r>
        <w:rPr>
          <w:rFonts w:hint="eastAsia" w:ascii="宋体" w:hAnsi="宋体"/>
          <w:sz w:val="24"/>
        </w:rPr>
        <w:t>。</w:t>
      </w:r>
    </w:p>
    <w:p>
      <w:pPr>
        <w:pStyle w:val="95"/>
        <w:tabs>
          <w:tab w:val="left" w:pos="540"/>
        </w:tabs>
        <w:adjustRightInd w:val="0"/>
        <w:snapToGrid w:val="0"/>
        <w:spacing w:before="156" w:beforeLines="50" w:line="360" w:lineRule="auto"/>
        <w:ind w:firstLine="482" w:firstLineChars="200"/>
        <w:rPr>
          <w:rFonts w:ascii="宋体"/>
          <w:b/>
          <w:bCs/>
          <w:sz w:val="24"/>
        </w:rPr>
      </w:pPr>
      <w:r>
        <w:rPr>
          <w:rFonts w:hint="eastAsia" w:ascii="宋体" w:hAnsi="宋体"/>
          <w:b/>
          <w:bCs/>
          <w:sz w:val="24"/>
        </w:rPr>
        <w:t>第八条　货物验收</w:t>
      </w:r>
    </w:p>
    <w:p>
      <w:pPr>
        <w:pStyle w:val="95"/>
        <w:tabs>
          <w:tab w:val="left" w:pos="540"/>
        </w:tabs>
        <w:adjustRightInd w:val="0"/>
        <w:snapToGrid w:val="0"/>
        <w:spacing w:line="360" w:lineRule="auto"/>
        <w:ind w:firstLine="480" w:firstLineChars="200"/>
        <w:rPr>
          <w:rFonts w:ascii="宋体" w:cs="宋体"/>
          <w:kern w:val="0"/>
          <w:sz w:val="24"/>
        </w:rPr>
      </w:pPr>
      <w:r>
        <w:rPr>
          <w:rFonts w:ascii="宋体" w:hAnsi="宋体"/>
          <w:sz w:val="24"/>
        </w:rPr>
        <w:t>1</w:t>
      </w:r>
      <w:r>
        <w:rPr>
          <w:rFonts w:hint="eastAsia" w:ascii="宋体" w:hAnsi="宋体"/>
          <w:sz w:val="24"/>
        </w:rPr>
        <w:t>、</w:t>
      </w:r>
      <w:r>
        <w:rPr>
          <w:rFonts w:hint="eastAsia" w:ascii="宋体" w:hAnsi="宋体" w:cs="宋体"/>
          <w:kern w:val="0"/>
          <w:sz w:val="24"/>
        </w:rPr>
        <w:t>货物送到甲方指定地点后</w:t>
      </w:r>
      <w:r>
        <w:rPr>
          <w:rFonts w:hint="eastAsia" w:ascii="宋体" w:hAnsi="宋体" w:cs="宋体"/>
          <w:b/>
          <w:kern w:val="0"/>
          <w:sz w:val="24"/>
          <w:u w:val="single"/>
        </w:rPr>
        <w:t>　　</w:t>
      </w:r>
      <w:r>
        <w:rPr>
          <w:rFonts w:hint="eastAsia" w:ascii="宋体" w:hAnsi="宋体" w:cs="宋体"/>
          <w:b/>
          <w:kern w:val="0"/>
          <w:sz w:val="24"/>
        </w:rPr>
        <w:t>个工作日内</w:t>
      </w:r>
      <w:r>
        <w:rPr>
          <w:rFonts w:hint="eastAsia" w:ascii="宋体" w:hAnsi="宋体" w:cs="宋体"/>
          <w:kern w:val="0"/>
          <w:sz w:val="24"/>
        </w:rPr>
        <w:t>，</w:t>
      </w:r>
      <w:r>
        <w:rPr>
          <w:rFonts w:hint="eastAsia" w:ascii="宋体" w:hAnsi="宋体"/>
          <w:sz w:val="24"/>
        </w:rPr>
        <w:t>乙方须通知并且组织甲方（或者甲方指定的机构）共同</w:t>
      </w:r>
      <w:r>
        <w:rPr>
          <w:rFonts w:hint="eastAsia" w:ascii="宋体" w:hAnsi="宋体" w:cs="宋体"/>
          <w:kern w:val="0"/>
          <w:sz w:val="24"/>
        </w:rPr>
        <w:t>对货物数量、</w:t>
      </w:r>
      <w:r>
        <w:rPr>
          <w:rFonts w:hint="eastAsia" w:ascii="宋体" w:hAnsi="宋体"/>
          <w:sz w:val="24"/>
        </w:rPr>
        <w:t>型号</w:t>
      </w:r>
      <w:r>
        <w:rPr>
          <w:rFonts w:hint="eastAsia" w:ascii="宋体" w:hAnsi="宋体" w:cs="宋体"/>
          <w:kern w:val="0"/>
          <w:sz w:val="24"/>
        </w:rPr>
        <w:t>、外观</w:t>
      </w:r>
      <w:r>
        <w:rPr>
          <w:rFonts w:hint="eastAsia" w:ascii="宋体" w:hAnsi="宋体"/>
          <w:sz w:val="24"/>
        </w:rPr>
        <w:t>标识</w:t>
      </w:r>
      <w:r>
        <w:rPr>
          <w:rFonts w:hint="eastAsia" w:ascii="宋体" w:hAnsi="宋体" w:cs="宋体"/>
          <w:kern w:val="0"/>
          <w:sz w:val="24"/>
        </w:rPr>
        <w:t>、包装、配套附件、各种技术资料文件等进行清点、检查或</w:t>
      </w:r>
      <w:r>
        <w:rPr>
          <w:rFonts w:hint="eastAsia" w:ascii="宋体" w:hAnsi="宋体"/>
          <w:sz w:val="24"/>
        </w:rPr>
        <w:t>初步</w:t>
      </w:r>
      <w:r>
        <w:rPr>
          <w:rFonts w:hint="eastAsia" w:ascii="宋体" w:hAnsi="宋体" w:cs="宋体"/>
          <w:kern w:val="0"/>
          <w:sz w:val="24"/>
        </w:rPr>
        <w:t>验收；需要安装、调试的，</w:t>
      </w:r>
      <w:r>
        <w:rPr>
          <w:rFonts w:hint="eastAsia" w:ascii="宋体" w:hAnsi="宋体"/>
          <w:sz w:val="24"/>
        </w:rPr>
        <w:t>应当</w:t>
      </w:r>
      <w:r>
        <w:rPr>
          <w:rFonts w:hint="eastAsia" w:ascii="宋体" w:hAnsi="宋体" w:cs="宋体"/>
          <w:kern w:val="0"/>
          <w:sz w:val="24"/>
        </w:rPr>
        <w:t>安装、调试完毕后的</w:t>
      </w:r>
      <w:r>
        <w:rPr>
          <w:rFonts w:hint="eastAsia" w:ascii="宋体" w:hAnsi="宋体" w:cs="宋体"/>
          <w:b/>
          <w:kern w:val="0"/>
          <w:sz w:val="24"/>
          <w:u w:val="single"/>
        </w:rPr>
        <w:t>　</w:t>
      </w:r>
      <w:r>
        <w:rPr>
          <w:rFonts w:ascii="宋体" w:hAnsi="宋体" w:cs="宋体"/>
          <w:b/>
          <w:kern w:val="0"/>
          <w:sz w:val="24"/>
          <w:u w:val="single"/>
        </w:rPr>
        <w:t>5</w:t>
      </w:r>
      <w:r>
        <w:rPr>
          <w:rFonts w:hint="eastAsia" w:ascii="宋体" w:hAnsi="宋体" w:cs="宋体"/>
          <w:b/>
          <w:kern w:val="0"/>
          <w:sz w:val="24"/>
          <w:u w:val="single"/>
        </w:rPr>
        <w:t>　</w:t>
      </w:r>
      <w:r>
        <w:rPr>
          <w:rFonts w:hint="eastAsia" w:ascii="宋体" w:hAnsi="宋体" w:cs="宋体"/>
          <w:b/>
          <w:kern w:val="0"/>
          <w:sz w:val="24"/>
        </w:rPr>
        <w:t>个工作日内</w:t>
      </w:r>
      <w:r>
        <w:rPr>
          <w:rFonts w:hint="eastAsia" w:ascii="宋体" w:hAnsi="宋体" w:cs="宋体"/>
          <w:kern w:val="0"/>
          <w:sz w:val="24"/>
        </w:rPr>
        <w:t>，会同甲方</w:t>
      </w:r>
      <w:r>
        <w:rPr>
          <w:rFonts w:hint="eastAsia" w:ascii="宋体" w:hAnsi="宋体"/>
          <w:sz w:val="24"/>
        </w:rPr>
        <w:t>共同</w:t>
      </w:r>
      <w:r>
        <w:rPr>
          <w:rFonts w:hint="eastAsia" w:ascii="宋体" w:hAnsi="宋体" w:cs="宋体"/>
          <w:kern w:val="0"/>
          <w:sz w:val="24"/>
        </w:rPr>
        <w:t>对货物数量、质量、外观、包装、品种、配套附件、各种技术资料文件等进行</w:t>
      </w:r>
      <w:r>
        <w:rPr>
          <w:rFonts w:hint="eastAsia" w:ascii="宋体" w:hAnsi="宋体"/>
          <w:sz w:val="24"/>
        </w:rPr>
        <w:t>初步</w:t>
      </w:r>
      <w:r>
        <w:rPr>
          <w:rFonts w:hint="eastAsia" w:ascii="宋体" w:hAnsi="宋体" w:cs="宋体"/>
          <w:kern w:val="0"/>
          <w:sz w:val="24"/>
        </w:rPr>
        <w:t>验收。</w:t>
      </w:r>
      <w:r>
        <w:rPr>
          <w:rFonts w:hint="eastAsia" w:ascii="宋体" w:hAnsi="宋体"/>
          <w:sz w:val="24"/>
        </w:rPr>
        <w:t>调试、安装不符合质量或技术标准的，乙方应立即采取补救措施；有关《初步验收报告》的出具和试用期的起算均应作相应顺延</w:t>
      </w:r>
      <w:r>
        <w:rPr>
          <w:rFonts w:hint="eastAsia" w:ascii="宋体" w:hAnsi="宋体" w:cs="宋体"/>
          <w:sz w:val="24"/>
        </w:rPr>
        <w:t>。</w:t>
      </w:r>
    </w:p>
    <w:p>
      <w:pPr>
        <w:pStyle w:val="95"/>
        <w:tabs>
          <w:tab w:val="left" w:pos="540"/>
        </w:tabs>
        <w:adjustRightInd w:val="0"/>
        <w:snapToGrid w:val="0"/>
        <w:spacing w:line="360" w:lineRule="auto"/>
        <w:ind w:firstLine="480" w:firstLineChars="200"/>
        <w:rPr>
          <w:rFonts w:ascii="宋体" w:cs="宋体"/>
          <w:sz w:val="24"/>
        </w:rPr>
      </w:pPr>
      <w:r>
        <w:rPr>
          <w:rFonts w:ascii="宋体" w:hAnsi="宋体" w:cs="宋体"/>
          <w:kern w:val="0"/>
          <w:sz w:val="24"/>
        </w:rPr>
        <w:t>2</w:t>
      </w:r>
      <w:r>
        <w:rPr>
          <w:rFonts w:hint="eastAsia" w:ascii="宋体" w:hAnsi="宋体" w:cs="宋体"/>
          <w:kern w:val="0"/>
          <w:sz w:val="24"/>
        </w:rPr>
        <w:t>、货物</w:t>
      </w:r>
      <w:r>
        <w:rPr>
          <w:rFonts w:hint="eastAsia" w:ascii="宋体" w:hAnsi="宋体"/>
          <w:sz w:val="24"/>
        </w:rPr>
        <w:t>全部交付给甲方时各方共同对货物</w:t>
      </w:r>
      <w:r>
        <w:rPr>
          <w:rFonts w:hint="eastAsia" w:ascii="宋体" w:hAnsi="宋体" w:cs="宋体"/>
          <w:kern w:val="0"/>
          <w:sz w:val="24"/>
        </w:rPr>
        <w:t>经过</w:t>
      </w:r>
      <w:r>
        <w:rPr>
          <w:rFonts w:hint="eastAsia" w:ascii="宋体" w:hAnsi="宋体"/>
          <w:sz w:val="24"/>
        </w:rPr>
        <w:t>初步</w:t>
      </w:r>
      <w:r>
        <w:rPr>
          <w:rFonts w:hint="eastAsia" w:ascii="宋体" w:hAnsi="宋体" w:cs="宋体"/>
          <w:kern w:val="0"/>
          <w:sz w:val="24"/>
        </w:rPr>
        <w:t>验收后，如果货物或其安装、调试、检测、运行符合本合同约定的，</w:t>
      </w:r>
      <w:r>
        <w:rPr>
          <w:rFonts w:hint="eastAsia" w:ascii="宋体" w:hAnsi="宋体"/>
          <w:sz w:val="24"/>
        </w:rPr>
        <w:t>甲方应</w:t>
      </w:r>
      <w:r>
        <w:rPr>
          <w:rFonts w:hint="eastAsia" w:ascii="宋体" w:hAnsi="宋体"/>
          <w:b/>
          <w:sz w:val="24"/>
        </w:rPr>
        <w:t>在</w:t>
      </w:r>
      <w:r>
        <w:rPr>
          <w:rFonts w:hint="eastAsia" w:ascii="宋体" w:hAnsi="宋体"/>
          <w:b/>
          <w:sz w:val="24"/>
          <w:u w:val="single"/>
        </w:rPr>
        <w:t>　</w:t>
      </w:r>
      <w:r>
        <w:rPr>
          <w:rFonts w:ascii="宋体" w:hAnsi="宋体"/>
          <w:b/>
          <w:sz w:val="24"/>
          <w:u w:val="single"/>
        </w:rPr>
        <w:t>5</w:t>
      </w:r>
      <w:r>
        <w:rPr>
          <w:rFonts w:hint="eastAsia" w:ascii="宋体" w:hAnsi="宋体"/>
          <w:b/>
          <w:sz w:val="24"/>
          <w:u w:val="single"/>
        </w:rPr>
        <w:t>　</w:t>
      </w:r>
      <w:r>
        <w:rPr>
          <w:rFonts w:hint="eastAsia" w:ascii="宋体" w:hAnsi="宋体"/>
          <w:b/>
          <w:sz w:val="24"/>
        </w:rPr>
        <w:t>个工作日内</w:t>
      </w:r>
      <w:r>
        <w:rPr>
          <w:rFonts w:hint="eastAsia" w:ascii="宋体" w:hAnsi="宋体"/>
          <w:sz w:val="24"/>
        </w:rPr>
        <w:t>向乙方签发书面的《初步</w:t>
      </w:r>
      <w:r>
        <w:rPr>
          <w:rFonts w:hint="eastAsia" w:ascii="宋体" w:hAnsi="宋体" w:cs="宋体"/>
          <w:kern w:val="0"/>
          <w:sz w:val="24"/>
        </w:rPr>
        <w:t>验收</w:t>
      </w:r>
      <w:r>
        <w:rPr>
          <w:rFonts w:hint="eastAsia" w:ascii="宋体" w:hAnsi="宋体"/>
          <w:sz w:val="24"/>
        </w:rPr>
        <w:t>报告》，但是，该《初步</w:t>
      </w:r>
      <w:r>
        <w:rPr>
          <w:rFonts w:hint="eastAsia" w:ascii="宋体" w:hAnsi="宋体" w:cs="宋体"/>
          <w:sz w:val="24"/>
        </w:rPr>
        <w:t>验收</w:t>
      </w:r>
      <w:r>
        <w:rPr>
          <w:rFonts w:hint="eastAsia" w:ascii="宋体" w:hAnsi="宋体"/>
          <w:sz w:val="24"/>
        </w:rPr>
        <w:t>报告》之签署并不代表货物质量完全合格。</w:t>
      </w:r>
    </w:p>
    <w:p>
      <w:pPr>
        <w:pStyle w:val="95"/>
        <w:tabs>
          <w:tab w:val="left" w:pos="540"/>
        </w:tabs>
        <w:adjustRightInd w:val="0"/>
        <w:snapToGrid w:val="0"/>
        <w:spacing w:line="360" w:lineRule="auto"/>
        <w:ind w:firstLine="480" w:firstLineChars="200"/>
        <w:rPr>
          <w:rFonts w:ascii="宋体" w:cs="宋体"/>
          <w:sz w:val="24"/>
        </w:rPr>
      </w:pPr>
      <w:r>
        <w:rPr>
          <w:rFonts w:ascii="宋体" w:hAnsi="宋体"/>
          <w:sz w:val="24"/>
        </w:rPr>
        <w:t>3</w:t>
      </w:r>
      <w:r>
        <w:rPr>
          <w:rFonts w:hint="eastAsia" w:ascii="宋体" w:hAnsi="宋体"/>
          <w:sz w:val="24"/>
        </w:rPr>
        <w:t>、《初步验收报告》之出具必须以本</w:t>
      </w:r>
      <w:r>
        <w:rPr>
          <w:rFonts w:hint="eastAsia" w:ascii="宋体" w:hAnsi="宋体" w:cs="宋体"/>
          <w:kern w:val="0"/>
          <w:sz w:val="24"/>
        </w:rPr>
        <w:t>合同项下的</w:t>
      </w:r>
      <w:r>
        <w:rPr>
          <w:rFonts w:hint="eastAsia" w:ascii="宋体" w:hAnsi="宋体"/>
          <w:sz w:val="24"/>
        </w:rPr>
        <w:t>全部货物初步验收完毕为条件。</w:t>
      </w:r>
      <w:r>
        <w:rPr>
          <w:rFonts w:hint="eastAsia" w:ascii="宋体" w:hAnsi="宋体" w:cs="宋体"/>
          <w:kern w:val="0"/>
          <w:sz w:val="24"/>
        </w:rPr>
        <w:t>对于分批或分项或分期履行交货的，甲方可以作分批或分项或分期之初步验收，但仅出具分批或分项或分期之初步验收书面文件，而</w:t>
      </w:r>
      <w:r>
        <w:rPr>
          <w:rFonts w:hint="eastAsia" w:ascii="宋体" w:hAnsi="宋体" w:cs="宋体"/>
          <w:sz w:val="24"/>
        </w:rPr>
        <w:t>此种情形下的</w:t>
      </w:r>
      <w:r>
        <w:rPr>
          <w:rFonts w:hint="eastAsia" w:ascii="宋体" w:hAnsi="宋体" w:cs="宋体"/>
          <w:kern w:val="0"/>
          <w:sz w:val="24"/>
        </w:rPr>
        <w:t>《初步验收报告》之签发时间应于最后一批（项或期）货物初步验收完毕之时，并据此作为全部货物试用期的起算时间</w:t>
      </w:r>
      <w:r>
        <w:rPr>
          <w:rFonts w:hint="eastAsia" w:ascii="宋体" w:hAnsi="宋体" w:cs="宋体"/>
          <w:sz w:val="24"/>
        </w:rPr>
        <w:t>――除非另有约定。</w:t>
      </w:r>
    </w:p>
    <w:p>
      <w:pPr>
        <w:pStyle w:val="95"/>
        <w:tabs>
          <w:tab w:val="left" w:pos="540"/>
        </w:tabs>
        <w:adjustRightInd w:val="0"/>
        <w:snapToGrid w:val="0"/>
        <w:spacing w:line="360" w:lineRule="auto"/>
        <w:ind w:firstLine="480" w:firstLineChars="200"/>
        <w:rPr>
          <w:rFonts w:ascii="宋体"/>
          <w:snapToGrid w:val="0"/>
          <w:sz w:val="24"/>
        </w:rPr>
      </w:pPr>
      <w:r>
        <w:rPr>
          <w:rFonts w:ascii="宋体" w:hAnsi="宋体"/>
          <w:sz w:val="24"/>
        </w:rPr>
        <w:t>4</w:t>
      </w:r>
      <w:r>
        <w:rPr>
          <w:rFonts w:hint="eastAsia" w:ascii="宋体" w:hAnsi="宋体"/>
          <w:sz w:val="24"/>
        </w:rPr>
        <w:t>、乙方则应给予甲方</w:t>
      </w:r>
      <w:r>
        <w:rPr>
          <w:rFonts w:hint="eastAsia" w:ascii="宋体" w:hAnsi="宋体"/>
          <w:b/>
          <w:sz w:val="24"/>
          <w:u w:val="single"/>
        </w:rPr>
        <w:t>　　</w:t>
      </w:r>
      <w:r>
        <w:rPr>
          <w:rFonts w:ascii="宋体" w:hAnsi="宋体"/>
          <w:b/>
          <w:sz w:val="24"/>
          <w:u w:val="single"/>
        </w:rPr>
        <w:t>30</w:t>
      </w:r>
      <w:r>
        <w:rPr>
          <w:rFonts w:hint="eastAsia" w:ascii="宋体" w:hAnsi="宋体"/>
          <w:b/>
          <w:sz w:val="24"/>
          <w:u w:val="single"/>
        </w:rPr>
        <w:t>　　</w:t>
      </w:r>
      <w:r>
        <w:rPr>
          <w:rFonts w:hint="eastAsia" w:ascii="宋体" w:hAnsi="宋体"/>
          <w:b/>
          <w:sz w:val="24"/>
        </w:rPr>
        <w:t>个日历天的货物试用期</w:t>
      </w:r>
      <w:r>
        <w:rPr>
          <w:rFonts w:hint="eastAsia" w:ascii="宋体" w:hAnsi="宋体"/>
          <w:sz w:val="24"/>
        </w:rPr>
        <w:t>，试用期自签发《初步</w:t>
      </w:r>
      <w:r>
        <w:rPr>
          <w:rFonts w:hint="eastAsia" w:ascii="宋体" w:hAnsi="宋体" w:cs="宋体"/>
          <w:kern w:val="0"/>
          <w:sz w:val="24"/>
        </w:rPr>
        <w:t>验收</w:t>
      </w:r>
      <w:r>
        <w:rPr>
          <w:rFonts w:hint="eastAsia" w:ascii="宋体" w:hAnsi="宋体"/>
          <w:sz w:val="24"/>
        </w:rPr>
        <w:t>报告》的当天起算。试用期内乙方未收到来自甲方的修理、修复、复检、重新安装、重新调试等请求或者质量异议的，则视货物质量合格。</w:t>
      </w:r>
      <w:r>
        <w:rPr>
          <w:rFonts w:hint="eastAsia" w:ascii="宋体" w:hAnsi="宋体"/>
          <w:snapToGrid w:val="0"/>
          <w:sz w:val="24"/>
        </w:rPr>
        <w:t>如果试用期内发生非甲方人为毁损原因所致的质量问题，则试用期起算时间应以该质量问题得到解决之日重新起算，且合同项下的货物验收合格之时间点应整体顺延。</w:t>
      </w:r>
    </w:p>
    <w:p>
      <w:pPr>
        <w:pStyle w:val="95"/>
        <w:tabs>
          <w:tab w:val="left" w:pos="540"/>
        </w:tabs>
        <w:adjustRightInd w:val="0"/>
        <w:snapToGrid w:val="0"/>
        <w:spacing w:line="360" w:lineRule="auto"/>
        <w:ind w:firstLine="480" w:firstLineChars="200"/>
        <w:rPr>
          <w:rFonts w:ascii="宋体"/>
          <w:sz w:val="24"/>
        </w:rPr>
      </w:pPr>
      <w:r>
        <w:rPr>
          <w:rFonts w:ascii="宋体" w:hAnsi="宋体"/>
          <w:sz w:val="24"/>
        </w:rPr>
        <w:t>5</w:t>
      </w:r>
      <w:r>
        <w:rPr>
          <w:rFonts w:hint="eastAsia" w:ascii="宋体" w:hAnsi="宋体"/>
          <w:sz w:val="24"/>
        </w:rPr>
        <w:t>、于试用期届满之次日（工作日），乙方应当向甲方提交要求确认</w:t>
      </w:r>
      <w:r>
        <w:rPr>
          <w:rFonts w:hint="eastAsia" w:ascii="宋体" w:hAnsi="宋体" w:cs="宋体"/>
          <w:kern w:val="0"/>
          <w:sz w:val="24"/>
        </w:rPr>
        <w:t>货物</w:t>
      </w:r>
      <w:r>
        <w:rPr>
          <w:rFonts w:hint="eastAsia" w:ascii="宋体" w:hAnsi="宋体"/>
          <w:sz w:val="24"/>
        </w:rPr>
        <w:t>试用期满、质量</w:t>
      </w:r>
      <w:r>
        <w:rPr>
          <w:rFonts w:hint="eastAsia" w:ascii="宋体" w:hAnsi="宋体"/>
          <w:snapToGrid w:val="0"/>
          <w:sz w:val="24"/>
        </w:rPr>
        <w:t>合格之书面申请。</w:t>
      </w:r>
      <w:r>
        <w:rPr>
          <w:rFonts w:hint="eastAsia" w:ascii="宋体" w:hAnsi="宋体"/>
          <w:sz w:val="24"/>
        </w:rPr>
        <w:t>甲方应当</w:t>
      </w:r>
      <w:r>
        <w:rPr>
          <w:rFonts w:hint="eastAsia" w:ascii="宋体" w:hAnsi="宋体"/>
          <w:b/>
          <w:sz w:val="24"/>
        </w:rPr>
        <w:t>在收到该书面申请后</w:t>
      </w:r>
      <w:r>
        <w:rPr>
          <w:rFonts w:hint="eastAsia" w:ascii="宋体" w:hAnsi="宋体"/>
          <w:b/>
          <w:snapToGrid w:val="0"/>
          <w:sz w:val="24"/>
          <w:u w:val="single"/>
        </w:rPr>
        <w:t>　　</w:t>
      </w:r>
      <w:r>
        <w:rPr>
          <w:rFonts w:ascii="宋体" w:hAnsi="宋体"/>
          <w:b/>
          <w:snapToGrid w:val="0"/>
          <w:sz w:val="24"/>
          <w:u w:val="single"/>
        </w:rPr>
        <w:t>5</w:t>
      </w:r>
      <w:r>
        <w:rPr>
          <w:rFonts w:hint="eastAsia" w:ascii="宋体" w:hAnsi="宋体"/>
          <w:b/>
          <w:snapToGrid w:val="0"/>
          <w:sz w:val="24"/>
          <w:u w:val="single"/>
        </w:rPr>
        <w:t>　　</w:t>
      </w:r>
      <w:r>
        <w:rPr>
          <w:rFonts w:hint="eastAsia" w:ascii="宋体" w:hAnsi="宋体"/>
          <w:b/>
          <w:snapToGrid w:val="0"/>
          <w:sz w:val="24"/>
        </w:rPr>
        <w:t>个工作日内</w:t>
      </w:r>
      <w:r>
        <w:rPr>
          <w:rFonts w:hint="eastAsia" w:ascii="宋体" w:hAnsi="宋体"/>
          <w:snapToGrid w:val="0"/>
          <w:sz w:val="24"/>
        </w:rPr>
        <w:t>复核并确认完毕――符合约定的质量标准的，则在先前签发的</w:t>
      </w:r>
      <w:r>
        <w:rPr>
          <w:rFonts w:hint="eastAsia" w:ascii="宋体" w:hAnsi="宋体"/>
          <w:sz w:val="24"/>
        </w:rPr>
        <w:t>《</w:t>
      </w:r>
      <w:r>
        <w:rPr>
          <w:rFonts w:hint="eastAsia" w:ascii="宋体" w:hAnsi="宋体" w:cs="宋体"/>
          <w:kern w:val="0"/>
          <w:sz w:val="24"/>
        </w:rPr>
        <w:t>初步验收</w:t>
      </w:r>
      <w:r>
        <w:rPr>
          <w:rFonts w:hint="eastAsia" w:ascii="宋体" w:hAnsi="宋体"/>
          <w:snapToGrid w:val="0"/>
          <w:sz w:val="24"/>
        </w:rPr>
        <w:t>报告》中作出“全部货物质量符合合同约定”或“试用期间使用正常”之类的批注；不符合的，须立即书面通知乙方并且可以在原</w:t>
      </w:r>
      <w:r>
        <w:rPr>
          <w:rFonts w:hint="eastAsia" w:ascii="宋体" w:hAnsi="宋体"/>
          <w:sz w:val="24"/>
        </w:rPr>
        <w:t>《</w:t>
      </w:r>
      <w:r>
        <w:rPr>
          <w:rFonts w:hint="eastAsia" w:ascii="宋体" w:hAnsi="宋体" w:cs="宋体"/>
          <w:kern w:val="0"/>
          <w:sz w:val="24"/>
        </w:rPr>
        <w:t>初步验收</w:t>
      </w:r>
      <w:r>
        <w:rPr>
          <w:rFonts w:hint="eastAsia" w:ascii="宋体" w:hAnsi="宋体"/>
          <w:snapToGrid w:val="0"/>
          <w:sz w:val="24"/>
        </w:rPr>
        <w:t>报告》作出相应的批注或提出相应的要求。</w:t>
      </w:r>
    </w:p>
    <w:p>
      <w:pPr>
        <w:pStyle w:val="95"/>
        <w:tabs>
          <w:tab w:val="left" w:pos="540"/>
        </w:tabs>
        <w:adjustRightInd w:val="0"/>
        <w:snapToGrid w:val="0"/>
        <w:spacing w:line="360" w:lineRule="auto"/>
        <w:ind w:firstLine="480" w:firstLineChars="200"/>
        <w:rPr>
          <w:rFonts w:ascii="宋体"/>
          <w:snapToGrid w:val="0"/>
          <w:sz w:val="24"/>
        </w:rPr>
      </w:pPr>
      <w:r>
        <w:rPr>
          <w:rFonts w:ascii="宋体" w:hAnsi="宋体"/>
          <w:snapToGrid w:val="0"/>
          <w:sz w:val="24"/>
        </w:rPr>
        <w:t>6</w:t>
      </w:r>
      <w:r>
        <w:rPr>
          <w:rFonts w:hint="eastAsia" w:ascii="宋体" w:hAnsi="宋体"/>
          <w:snapToGrid w:val="0"/>
          <w:sz w:val="24"/>
        </w:rPr>
        <w:t>、试用期内如果货物存在非甲方人为毁损原因而导致的不能正常使用，则该货物之试用期的起算时间应以该质量或技术问题被乙方完全解决之时重新起算，亦即该货物之试用期应顺延。如不能正常使用系甲方人为毁损原因导致，则不影响试用期限。</w:t>
      </w:r>
    </w:p>
    <w:p>
      <w:pPr>
        <w:pStyle w:val="95"/>
        <w:adjustRightInd w:val="0"/>
        <w:snapToGrid w:val="0"/>
        <w:spacing w:line="360" w:lineRule="auto"/>
        <w:ind w:firstLine="480" w:firstLineChars="200"/>
        <w:rPr>
          <w:rFonts w:ascii="宋体"/>
          <w:sz w:val="24"/>
        </w:rPr>
      </w:pPr>
      <w:r>
        <w:rPr>
          <w:rFonts w:ascii="宋体" w:hAnsi="宋体" w:cs="宋体"/>
          <w:kern w:val="0"/>
          <w:sz w:val="24"/>
        </w:rPr>
        <w:t>7</w:t>
      </w:r>
      <w:r>
        <w:rPr>
          <w:rFonts w:hint="eastAsia" w:ascii="宋体" w:hAnsi="宋体" w:cs="宋体"/>
          <w:kern w:val="0"/>
          <w:sz w:val="24"/>
        </w:rPr>
        <w:t>、</w:t>
      </w:r>
      <w:r>
        <w:rPr>
          <w:rFonts w:hint="eastAsia" w:ascii="宋体" w:hAnsi="宋体"/>
          <w:sz w:val="24"/>
        </w:rPr>
        <w:t>如因质量发生争议，由各方共同委托承德市技术质量监督部门进行质量鉴定；如该部门因受专业或技术等原因所限而不能办理的，则共同委托其他专门机构进行质量鉴定。其鉴定结论对各方均具有法律约束力。货物符合质量标准的，鉴定费由甲方承担；不符合的，鉴定费由乙方承担。</w:t>
      </w:r>
    </w:p>
    <w:p>
      <w:pPr>
        <w:pStyle w:val="95"/>
        <w:widowControl/>
        <w:adjustRightInd w:val="0"/>
        <w:snapToGrid w:val="0"/>
        <w:spacing w:line="360" w:lineRule="auto"/>
        <w:ind w:left="120" w:leftChars="57" w:firstLine="360" w:firstLineChars="150"/>
        <w:rPr>
          <w:rFonts w:ascii="宋体" w:cs="宋体"/>
          <w:kern w:val="0"/>
          <w:sz w:val="24"/>
        </w:rPr>
      </w:pPr>
      <w:r>
        <w:rPr>
          <w:rFonts w:ascii="宋体" w:hAnsi="宋体"/>
          <w:sz w:val="24"/>
        </w:rPr>
        <w:t>8</w:t>
      </w:r>
      <w:r>
        <w:rPr>
          <w:rFonts w:hint="eastAsia" w:ascii="宋体" w:hAnsi="宋体"/>
          <w:sz w:val="24"/>
        </w:rPr>
        <w:t>、验收标准：无论各方自行组织验收，还是共同委托验收，抑或于仲裁或诉讼情形，验收标准须以本合同</w:t>
      </w:r>
      <w:r>
        <w:rPr>
          <w:rFonts w:hint="eastAsia" w:ascii="宋体" w:hAnsi="宋体"/>
          <w:bCs/>
          <w:sz w:val="24"/>
        </w:rPr>
        <w:t>中的“质量要求和技术标准”条款为根据</w:t>
      </w:r>
      <w:r>
        <w:rPr>
          <w:rFonts w:hint="eastAsia" w:ascii="宋体" w:hAnsi="宋体"/>
          <w:sz w:val="24"/>
        </w:rPr>
        <w:t>。</w:t>
      </w:r>
    </w:p>
    <w:p>
      <w:pPr>
        <w:pStyle w:val="95"/>
        <w:adjustRightInd w:val="0"/>
        <w:snapToGrid w:val="0"/>
        <w:spacing w:line="360" w:lineRule="auto"/>
        <w:ind w:firstLine="480" w:firstLineChars="200"/>
        <w:rPr>
          <w:rFonts w:ascii="宋体" w:cs="宋体"/>
          <w:kern w:val="0"/>
          <w:sz w:val="24"/>
        </w:rPr>
      </w:pPr>
      <w:r>
        <w:rPr>
          <w:rFonts w:ascii="宋体" w:hAnsi="宋体"/>
          <w:sz w:val="24"/>
        </w:rPr>
        <w:t>9</w:t>
      </w:r>
      <w:r>
        <w:rPr>
          <w:rFonts w:hint="eastAsia" w:ascii="宋体" w:hAnsi="宋体"/>
          <w:sz w:val="24"/>
        </w:rPr>
        <w:t>、</w:t>
      </w:r>
      <w:r>
        <w:rPr>
          <w:rFonts w:hint="eastAsia" w:ascii="宋体" w:hAnsi="宋体" w:cs="宋体"/>
          <w:kern w:val="0"/>
          <w:sz w:val="24"/>
        </w:rPr>
        <w:t>如果甲方未及时参与乙方组织的验收工作，乙方应当再次以特快专递方式书面通知甲方验收；如甲方无正当理由仍拒不参加验收，应视质量合格且甲方拒收货物并</w:t>
      </w:r>
      <w:r>
        <w:rPr>
          <w:rFonts w:hint="eastAsia" w:ascii="宋体" w:hAnsi="宋体" w:cs="宋体"/>
          <w:sz w:val="24"/>
        </w:rPr>
        <w:t>按本合同第十二条第</w:t>
      </w:r>
      <w:r>
        <w:rPr>
          <w:rFonts w:ascii="宋体" w:hAnsi="宋体" w:cs="宋体"/>
          <w:sz w:val="24"/>
        </w:rPr>
        <w:t>4</w:t>
      </w:r>
      <w:r>
        <w:rPr>
          <w:rFonts w:hint="eastAsia" w:ascii="宋体" w:hAnsi="宋体" w:cs="宋体"/>
          <w:sz w:val="24"/>
        </w:rPr>
        <w:t>款</w:t>
      </w:r>
      <w:r>
        <w:rPr>
          <w:rFonts w:hint="eastAsia" w:ascii="宋体" w:hAnsi="宋体" w:cs="宋体"/>
          <w:kern w:val="0"/>
          <w:sz w:val="24"/>
        </w:rPr>
        <w:t>承担违约责任。</w:t>
      </w:r>
    </w:p>
    <w:p>
      <w:pPr>
        <w:pStyle w:val="95"/>
        <w:widowControl/>
        <w:adjustRightInd w:val="0"/>
        <w:snapToGrid w:val="0"/>
        <w:spacing w:before="156" w:beforeLines="50" w:line="360" w:lineRule="auto"/>
        <w:ind w:firstLine="472" w:firstLineChars="196"/>
        <w:rPr>
          <w:rFonts w:ascii="宋体"/>
          <w:b/>
          <w:bCs/>
          <w:sz w:val="24"/>
        </w:rPr>
      </w:pPr>
      <w:r>
        <w:rPr>
          <w:rFonts w:hint="eastAsia" w:ascii="宋体" w:hAnsi="宋体"/>
          <w:b/>
          <w:bCs/>
          <w:sz w:val="24"/>
        </w:rPr>
        <w:t>第九条　</w:t>
      </w:r>
      <w:r>
        <w:rPr>
          <w:rFonts w:hint="eastAsia" w:ascii="宋体" w:hAnsi="宋体"/>
          <w:b/>
          <w:sz w:val="24"/>
        </w:rPr>
        <w:t>质量</w:t>
      </w:r>
      <w:r>
        <w:rPr>
          <w:rFonts w:hint="eastAsia" w:ascii="宋体" w:hAnsi="宋体"/>
          <w:b/>
          <w:bCs/>
          <w:sz w:val="24"/>
        </w:rPr>
        <w:t>保修和售后服务</w:t>
      </w:r>
      <w:r>
        <w:rPr>
          <w:rFonts w:ascii="宋体"/>
          <w:b/>
          <w:bCs/>
          <w:sz w:val="24"/>
        </w:rPr>
        <w:tab/>
      </w:r>
    </w:p>
    <w:p>
      <w:pPr>
        <w:pStyle w:val="95"/>
        <w:adjustRightInd w:val="0"/>
        <w:snapToGrid w:val="0"/>
        <w:spacing w:line="360" w:lineRule="auto"/>
        <w:ind w:firstLine="616" w:firstLineChars="257"/>
        <w:rPr>
          <w:rFonts w:ascii="宋体"/>
          <w:snapToGrid w:val="0"/>
          <w:sz w:val="24"/>
        </w:rPr>
      </w:pPr>
      <w:r>
        <w:rPr>
          <w:rFonts w:ascii="宋体" w:hAnsi="宋体"/>
          <w:sz w:val="24"/>
        </w:rPr>
        <w:t>1</w:t>
      </w:r>
      <w:r>
        <w:rPr>
          <w:rFonts w:hint="eastAsia" w:ascii="宋体" w:hAnsi="宋体"/>
          <w:sz w:val="24"/>
        </w:rPr>
        <w:t>、质量保修和售后服务期限：</w:t>
      </w:r>
    </w:p>
    <w:tbl>
      <w:tblPr>
        <w:tblStyle w:val="39"/>
        <w:tblW w:w="8820" w:type="dxa"/>
        <w:tblCellSpacing w:w="0"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
        <w:gridCol w:w="2180"/>
        <w:gridCol w:w="2858"/>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362" w:type="dxa"/>
            <w:vAlign w:val="center"/>
          </w:tcPr>
          <w:p>
            <w:pPr>
              <w:pStyle w:val="95"/>
              <w:adjustRightInd w:val="0"/>
              <w:snapToGrid w:val="0"/>
              <w:spacing w:line="360" w:lineRule="auto"/>
              <w:jc w:val="center"/>
              <w:rPr>
                <w:rFonts w:ascii="宋体"/>
                <w:sz w:val="24"/>
              </w:rPr>
            </w:pPr>
            <w:r>
              <w:rPr>
                <w:rFonts w:hint="eastAsia" w:ascii="宋体" w:hAnsi="宋体"/>
                <w:sz w:val="24"/>
              </w:rPr>
              <w:t>序号</w:t>
            </w:r>
          </w:p>
        </w:tc>
        <w:tc>
          <w:tcPr>
            <w:tcW w:w="2180" w:type="dxa"/>
            <w:vAlign w:val="center"/>
          </w:tcPr>
          <w:p>
            <w:pPr>
              <w:pStyle w:val="95"/>
              <w:adjustRightInd w:val="0"/>
              <w:snapToGrid w:val="0"/>
              <w:spacing w:line="360" w:lineRule="auto"/>
              <w:jc w:val="center"/>
              <w:rPr>
                <w:rFonts w:ascii="宋体"/>
                <w:sz w:val="24"/>
              </w:rPr>
            </w:pPr>
            <w:r>
              <w:rPr>
                <w:rFonts w:hint="eastAsia" w:ascii="宋体" w:hAnsi="宋体"/>
                <w:sz w:val="24"/>
              </w:rPr>
              <w:t>货物名称</w:t>
            </w:r>
          </w:p>
        </w:tc>
        <w:tc>
          <w:tcPr>
            <w:tcW w:w="2858" w:type="dxa"/>
            <w:vAlign w:val="center"/>
          </w:tcPr>
          <w:p>
            <w:pPr>
              <w:pStyle w:val="95"/>
              <w:adjustRightInd w:val="0"/>
              <w:snapToGrid w:val="0"/>
              <w:spacing w:line="360" w:lineRule="auto"/>
              <w:jc w:val="center"/>
              <w:rPr>
                <w:rFonts w:ascii="宋体"/>
                <w:sz w:val="24"/>
              </w:rPr>
            </w:pPr>
            <w:r>
              <w:rPr>
                <w:rFonts w:hint="eastAsia" w:ascii="宋体" w:hAnsi="宋体"/>
                <w:sz w:val="24"/>
              </w:rPr>
              <w:t>免费保修期（自</w:t>
            </w:r>
            <w:r>
              <w:rPr>
                <w:rFonts w:hint="eastAsia" w:ascii="宋体" w:hAnsi="宋体"/>
                <w:snapToGrid w:val="0"/>
                <w:sz w:val="24"/>
              </w:rPr>
              <w:t>签发《初步验收报告》之日起算）</w:t>
            </w:r>
          </w:p>
        </w:tc>
        <w:tc>
          <w:tcPr>
            <w:tcW w:w="3420" w:type="dxa"/>
            <w:vAlign w:val="center"/>
          </w:tcPr>
          <w:p>
            <w:pPr>
              <w:pStyle w:val="95"/>
              <w:adjustRightInd w:val="0"/>
              <w:snapToGrid w:val="0"/>
              <w:spacing w:line="360" w:lineRule="auto"/>
              <w:jc w:val="center"/>
              <w:rPr>
                <w:rFonts w:ascii="宋体"/>
                <w:sz w:val="24"/>
              </w:rPr>
            </w:pPr>
            <w:r>
              <w:rPr>
                <w:rFonts w:hint="eastAsia" w:ascii="宋体" w:hAnsi="宋体"/>
                <w:sz w:val="24"/>
              </w:rPr>
              <w:t>有偿保修服务期（自免费质量保修期届满日之次日起算）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362" w:type="dxa"/>
            <w:vAlign w:val="center"/>
          </w:tcPr>
          <w:p>
            <w:pPr>
              <w:pStyle w:val="95"/>
              <w:adjustRightInd w:val="0"/>
              <w:snapToGrid w:val="0"/>
              <w:spacing w:line="360" w:lineRule="auto"/>
              <w:jc w:val="center"/>
              <w:rPr>
                <w:rFonts w:ascii="宋体"/>
                <w:sz w:val="24"/>
              </w:rPr>
            </w:pPr>
          </w:p>
        </w:tc>
        <w:tc>
          <w:tcPr>
            <w:tcW w:w="2180" w:type="dxa"/>
            <w:vAlign w:val="center"/>
          </w:tcPr>
          <w:p>
            <w:pPr>
              <w:pStyle w:val="95"/>
              <w:adjustRightInd w:val="0"/>
              <w:snapToGrid w:val="0"/>
              <w:spacing w:line="360" w:lineRule="auto"/>
              <w:jc w:val="center"/>
              <w:rPr>
                <w:rFonts w:ascii="宋体"/>
                <w:sz w:val="24"/>
              </w:rPr>
            </w:pPr>
          </w:p>
        </w:tc>
        <w:tc>
          <w:tcPr>
            <w:tcW w:w="2858" w:type="dxa"/>
            <w:vAlign w:val="center"/>
          </w:tcPr>
          <w:p>
            <w:pPr>
              <w:pStyle w:val="95"/>
              <w:adjustRightInd w:val="0"/>
              <w:snapToGrid w:val="0"/>
              <w:spacing w:line="360" w:lineRule="auto"/>
              <w:ind w:firstLine="1440" w:firstLineChars="600"/>
              <w:rPr>
                <w:rFonts w:ascii="宋体"/>
                <w:sz w:val="24"/>
              </w:rPr>
            </w:pPr>
          </w:p>
        </w:tc>
        <w:tc>
          <w:tcPr>
            <w:tcW w:w="3420" w:type="dxa"/>
            <w:vAlign w:val="center"/>
          </w:tcPr>
          <w:p>
            <w:pPr>
              <w:pStyle w:val="95"/>
              <w:adjustRightInd w:val="0"/>
              <w:snapToGrid w:val="0"/>
              <w:spacing w:line="360" w:lineRule="auto"/>
              <w:ind w:firstLine="1440" w:firstLineChars="6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362" w:type="dxa"/>
            <w:vAlign w:val="center"/>
          </w:tcPr>
          <w:p>
            <w:pPr>
              <w:pStyle w:val="95"/>
              <w:adjustRightInd w:val="0"/>
              <w:snapToGrid w:val="0"/>
              <w:spacing w:line="360" w:lineRule="auto"/>
              <w:jc w:val="center"/>
              <w:rPr>
                <w:rFonts w:ascii="宋体"/>
                <w:sz w:val="24"/>
              </w:rPr>
            </w:pPr>
          </w:p>
        </w:tc>
        <w:tc>
          <w:tcPr>
            <w:tcW w:w="2180" w:type="dxa"/>
            <w:vAlign w:val="center"/>
          </w:tcPr>
          <w:p>
            <w:pPr>
              <w:pStyle w:val="95"/>
              <w:adjustRightInd w:val="0"/>
              <w:snapToGrid w:val="0"/>
              <w:spacing w:line="360" w:lineRule="auto"/>
              <w:jc w:val="center"/>
              <w:rPr>
                <w:rFonts w:ascii="宋体"/>
                <w:sz w:val="24"/>
              </w:rPr>
            </w:pPr>
          </w:p>
        </w:tc>
        <w:tc>
          <w:tcPr>
            <w:tcW w:w="2858" w:type="dxa"/>
            <w:vAlign w:val="center"/>
          </w:tcPr>
          <w:p>
            <w:pPr>
              <w:pStyle w:val="95"/>
              <w:adjustRightInd w:val="0"/>
              <w:snapToGrid w:val="0"/>
              <w:spacing w:line="360" w:lineRule="auto"/>
              <w:ind w:firstLine="1440" w:firstLineChars="600"/>
              <w:rPr>
                <w:rFonts w:ascii="宋体"/>
                <w:sz w:val="24"/>
              </w:rPr>
            </w:pPr>
          </w:p>
        </w:tc>
        <w:tc>
          <w:tcPr>
            <w:tcW w:w="3420" w:type="dxa"/>
            <w:vAlign w:val="center"/>
          </w:tcPr>
          <w:p>
            <w:pPr>
              <w:pStyle w:val="95"/>
              <w:adjustRightInd w:val="0"/>
              <w:snapToGrid w:val="0"/>
              <w:spacing w:line="360" w:lineRule="auto"/>
              <w:ind w:firstLine="1440" w:firstLineChars="600"/>
              <w:rPr>
                <w:rFonts w:ascii="宋体"/>
                <w:sz w:val="24"/>
              </w:rPr>
            </w:pPr>
          </w:p>
        </w:tc>
      </w:tr>
    </w:tbl>
    <w:p>
      <w:pPr>
        <w:pStyle w:val="95"/>
        <w:adjustRightInd w:val="0"/>
        <w:snapToGrid w:val="0"/>
        <w:spacing w:line="360" w:lineRule="auto"/>
        <w:ind w:firstLine="480" w:firstLineChars="200"/>
        <w:rPr>
          <w:rFonts w:ascii="宋体"/>
          <w:sz w:val="24"/>
        </w:rPr>
      </w:pPr>
      <w:r>
        <w:rPr>
          <w:rFonts w:ascii="宋体" w:hAnsi="宋体"/>
          <w:snapToGrid w:val="0"/>
          <w:sz w:val="24"/>
        </w:rPr>
        <w:t>2</w:t>
      </w:r>
      <w:r>
        <w:rPr>
          <w:rFonts w:hint="eastAsia" w:ascii="宋体" w:hAnsi="宋体"/>
          <w:snapToGrid w:val="0"/>
          <w:sz w:val="24"/>
        </w:rPr>
        <w:t>、</w:t>
      </w:r>
      <w:r>
        <w:rPr>
          <w:rFonts w:hint="eastAsia" w:ascii="宋体" w:hAnsi="宋体"/>
          <w:sz w:val="24"/>
        </w:rPr>
        <w:t>在免费质量保修期内，如货物设备非因甲方的人为原因而出现质量问题，乙方承诺全额免费包维修、包更换或退换、包安装、包调试、包正常运行；如确属甲方人为原因损坏，亦须无条件维修、更换或退换、安装、调试并确保正常运行，但甲方应给予合理费用。</w:t>
      </w:r>
    </w:p>
    <w:p>
      <w:pPr>
        <w:pStyle w:val="95"/>
        <w:widowControl/>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、有偿保修服务期内而需要维修或维护的，</w:t>
      </w:r>
      <w:r>
        <w:rPr>
          <w:rFonts w:hint="eastAsia" w:ascii="宋体" w:hAnsi="宋体" w:cs="宋体"/>
          <w:snapToGrid w:val="0"/>
          <w:kern w:val="0"/>
          <w:sz w:val="24"/>
        </w:rPr>
        <w:t>乙方仍应按本条约定的时间派员检查与维修，并确保优质服务和质量合格且能正常运行。有关修复</w:t>
      </w:r>
      <w:r>
        <w:rPr>
          <w:rFonts w:hint="eastAsia" w:ascii="宋体" w:hAnsi="宋体"/>
          <w:sz w:val="24"/>
        </w:rPr>
        <w:t>费用由甲方承担，但乙方应给予最优惠价格。</w:t>
      </w:r>
    </w:p>
    <w:p>
      <w:pPr>
        <w:pStyle w:val="95"/>
        <w:widowControl/>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rPr>
        <w:t>、无论于免费保修期内还是有偿保修服务期内，乙方保证在接到故障电话后的</w:t>
      </w:r>
      <w:r>
        <w:rPr>
          <w:rFonts w:hint="eastAsia" w:ascii="宋体" w:hAnsi="宋体"/>
          <w:sz w:val="24"/>
          <w:u w:val="single"/>
        </w:rPr>
        <w:t>　　</w:t>
      </w:r>
      <w:r>
        <w:rPr>
          <w:rFonts w:hint="eastAsia" w:ascii="宋体" w:hAnsi="宋体"/>
          <w:sz w:val="24"/>
        </w:rPr>
        <w:t>小时内响应甲方或甲方所属部门的要求，</w:t>
      </w:r>
      <w:r>
        <w:rPr>
          <w:rFonts w:hint="eastAsia" w:ascii="宋体" w:hAnsi="宋体"/>
          <w:sz w:val="24"/>
          <w:u w:val="single"/>
        </w:rPr>
        <w:t>　　</w:t>
      </w:r>
      <w:r>
        <w:rPr>
          <w:rFonts w:hint="eastAsia" w:ascii="宋体" w:hAnsi="宋体"/>
          <w:sz w:val="24"/>
        </w:rPr>
        <w:t>小时内派员上门现场维护并在</w:t>
      </w:r>
      <w:r>
        <w:rPr>
          <w:rFonts w:hint="eastAsia" w:ascii="宋体" w:hAnsi="宋体"/>
          <w:sz w:val="24"/>
          <w:u w:val="single"/>
        </w:rPr>
        <w:t>　　</w:t>
      </w:r>
      <w:r>
        <w:rPr>
          <w:rFonts w:hint="eastAsia" w:ascii="宋体" w:hAnsi="宋体"/>
          <w:sz w:val="24"/>
        </w:rPr>
        <w:t>小时内排除故障修复使用；如在规定时间内不能修复解决，则提供相同功能档次的货物设备作为代替使用，以确保货物设备能够满足甲方正常的教学工作。</w:t>
      </w:r>
    </w:p>
    <w:p>
      <w:pPr>
        <w:pStyle w:val="95"/>
        <w:adjustRightInd w:val="0"/>
        <w:snapToGrid w:val="0"/>
        <w:spacing w:line="360" w:lineRule="auto"/>
        <w:ind w:firstLine="482" w:firstLineChars="200"/>
        <w:rPr>
          <w:rFonts w:ascii="宋体"/>
          <w:b/>
          <w:bCs/>
          <w:sz w:val="24"/>
        </w:rPr>
      </w:pPr>
    </w:p>
    <w:p>
      <w:pPr>
        <w:pStyle w:val="95"/>
        <w:adjustRightInd w:val="0"/>
        <w:snapToGrid w:val="0"/>
        <w:spacing w:line="360" w:lineRule="auto"/>
        <w:ind w:firstLine="482" w:firstLineChars="200"/>
        <w:rPr>
          <w:rFonts w:ascii="宋体"/>
          <w:b/>
          <w:bCs/>
          <w:sz w:val="24"/>
        </w:rPr>
      </w:pPr>
      <w:r>
        <w:rPr>
          <w:rFonts w:hint="eastAsia" w:ascii="宋体" w:hAnsi="宋体"/>
          <w:b/>
          <w:bCs/>
          <w:sz w:val="24"/>
        </w:rPr>
        <w:t>第十条　合同款支付</w:t>
      </w:r>
    </w:p>
    <w:p>
      <w:pPr>
        <w:adjustRightInd w:val="0"/>
        <w:spacing w:line="360" w:lineRule="auto"/>
        <w:ind w:firstLine="480" w:firstLineChars="200"/>
        <w:jc w:val="left"/>
        <w:rPr>
          <w:rFonts w:ascii="宋体" w:cs="Arial"/>
          <w:sz w:val="24"/>
        </w:rPr>
      </w:pPr>
    </w:p>
    <w:p>
      <w:pPr>
        <w:pStyle w:val="95"/>
        <w:adjustRightInd w:val="0"/>
        <w:snapToGrid w:val="0"/>
        <w:spacing w:before="156" w:beforeLines="50" w:line="360" w:lineRule="auto"/>
        <w:ind w:firstLine="482" w:firstLineChars="200"/>
        <w:rPr>
          <w:rFonts w:ascii="宋体"/>
          <w:b/>
          <w:bCs/>
          <w:sz w:val="24"/>
        </w:rPr>
      </w:pPr>
      <w:r>
        <w:rPr>
          <w:rFonts w:hint="eastAsia" w:ascii="宋体" w:hAnsi="宋体" w:cs="宋体"/>
          <w:b/>
          <w:sz w:val="24"/>
        </w:rPr>
        <w:t>第十一条　</w:t>
      </w:r>
      <w:r>
        <w:rPr>
          <w:rFonts w:hint="eastAsia" w:ascii="宋体" w:hAnsi="宋体"/>
          <w:b/>
          <w:bCs/>
          <w:sz w:val="24"/>
        </w:rPr>
        <w:t>合同的变更、中止、解除</w:t>
      </w:r>
    </w:p>
    <w:p>
      <w:pPr>
        <w:pStyle w:val="95"/>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、本合同一经订立，即具有法律约束力；各方均不得擅自变更、中止或者解除。</w:t>
      </w:r>
    </w:p>
    <w:p>
      <w:pPr>
        <w:pStyle w:val="95"/>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w:t>
      </w:r>
      <w:r>
        <w:rPr>
          <w:rFonts w:hint="eastAsia" w:ascii="宋体" w:hAnsi="宋体"/>
          <w:snapToGrid w:val="0"/>
          <w:sz w:val="24"/>
        </w:rPr>
        <w:t>对货物的增加或减少，双方可以另行订立补充合同。</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、乙方有下列情形之一的，甲方有权单方解除合同：</w:t>
      </w:r>
    </w:p>
    <w:p>
      <w:pPr>
        <w:pStyle w:val="95"/>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逾期三十天仍未交齐货物的；</w:t>
      </w:r>
    </w:p>
    <w:p>
      <w:pPr>
        <w:pStyle w:val="95"/>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乙方擅自对本合同约定的货物进行替代的；</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乙方违反本合同关于权利瑕疵担保约定的；</w:t>
      </w:r>
    </w:p>
    <w:p>
      <w:pPr>
        <w:pStyle w:val="95"/>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rPr>
        <w:t>其他符合法律规定或符合本合同其它约定情形的。</w:t>
      </w:r>
    </w:p>
    <w:p>
      <w:pPr>
        <w:pStyle w:val="95"/>
        <w:adjustRightInd w:val="0"/>
        <w:snapToGrid w:val="0"/>
        <w:spacing w:line="360" w:lineRule="auto"/>
        <w:ind w:firstLine="435"/>
        <w:rPr>
          <w:rFonts w:ascii="宋体"/>
          <w:sz w:val="24"/>
        </w:rPr>
      </w:pPr>
      <w:r>
        <w:rPr>
          <w:rFonts w:ascii="宋体" w:hAnsi="宋体"/>
          <w:sz w:val="24"/>
        </w:rPr>
        <w:t>4</w:t>
      </w:r>
      <w:r>
        <w:rPr>
          <w:rFonts w:hint="eastAsia" w:ascii="宋体" w:hAnsi="宋体"/>
          <w:sz w:val="24"/>
        </w:rPr>
        <w:t>、甲方有下列情形之一的，乙方有权单方解除合同：</w:t>
      </w:r>
    </w:p>
    <w:p>
      <w:pPr>
        <w:pStyle w:val="95"/>
        <w:adjustRightInd w:val="0"/>
        <w:snapToGrid w:val="0"/>
        <w:spacing w:line="360" w:lineRule="auto"/>
        <w:ind w:firstLine="435"/>
        <w:rPr>
          <w:rFonts w:ascii="宋体"/>
          <w:sz w:val="24"/>
        </w:rPr>
      </w:pPr>
      <w:r>
        <w:rPr>
          <w:rFonts w:ascii="宋体" w:hAnsi="宋体"/>
          <w:sz w:val="24"/>
        </w:rPr>
        <w:t>(1)</w:t>
      </w:r>
      <w:r>
        <w:rPr>
          <w:rFonts w:hint="eastAsia" w:ascii="宋体" w:hAnsi="宋体"/>
          <w:sz w:val="24"/>
        </w:rPr>
        <w:t>无正当理由，拒绝验收货物而经其书面催告且在催告期届满甲方不作答复的；</w:t>
      </w:r>
    </w:p>
    <w:p>
      <w:pPr>
        <w:pStyle w:val="95"/>
        <w:adjustRightInd w:val="0"/>
        <w:snapToGrid w:val="0"/>
        <w:spacing w:line="360" w:lineRule="auto"/>
        <w:ind w:firstLine="435"/>
        <w:rPr>
          <w:rFonts w:ascii="宋体"/>
          <w:sz w:val="24"/>
        </w:rPr>
      </w:pPr>
      <w:r>
        <w:rPr>
          <w:rFonts w:ascii="宋体" w:hAnsi="宋体"/>
          <w:sz w:val="24"/>
        </w:rPr>
        <w:t>(2)</w:t>
      </w:r>
      <w:r>
        <w:rPr>
          <w:rFonts w:hint="eastAsia" w:ascii="宋体" w:hAnsi="宋体"/>
          <w:sz w:val="24"/>
        </w:rPr>
        <w:t>无正当理由，拒绝收受货物而经其书面催告且在催告期届满甲方不作答复的；</w:t>
      </w:r>
    </w:p>
    <w:p>
      <w:pPr>
        <w:pStyle w:val="95"/>
        <w:adjustRightInd w:val="0"/>
        <w:snapToGrid w:val="0"/>
        <w:spacing w:line="360" w:lineRule="auto"/>
        <w:ind w:firstLine="435"/>
        <w:rPr>
          <w:rFonts w:ascii="宋体"/>
          <w:sz w:val="24"/>
        </w:rPr>
      </w:pPr>
      <w:r>
        <w:rPr>
          <w:rFonts w:ascii="宋体" w:hAnsi="宋体"/>
          <w:sz w:val="24"/>
        </w:rPr>
        <w:t>(3)</w:t>
      </w:r>
      <w:r>
        <w:rPr>
          <w:rFonts w:hint="eastAsia" w:ascii="宋体" w:hAnsi="宋体"/>
          <w:sz w:val="24"/>
        </w:rPr>
        <w:t>无正当理由，拒付货款而经其书面催告且在催告期届满甲方不作答复的；</w:t>
      </w:r>
    </w:p>
    <w:p>
      <w:pPr>
        <w:pStyle w:val="95"/>
        <w:adjustRightInd w:val="0"/>
        <w:snapToGrid w:val="0"/>
        <w:spacing w:line="360" w:lineRule="auto"/>
        <w:ind w:firstLine="435"/>
        <w:rPr>
          <w:rFonts w:ascii="宋体"/>
          <w:sz w:val="24"/>
        </w:rPr>
      </w:pPr>
      <w:r>
        <w:rPr>
          <w:rFonts w:ascii="宋体" w:hAnsi="宋体"/>
          <w:sz w:val="24"/>
        </w:rPr>
        <w:t>(4)</w:t>
      </w:r>
      <w:r>
        <w:rPr>
          <w:rFonts w:hint="eastAsia" w:ascii="宋体" w:hAnsi="宋体"/>
          <w:sz w:val="24"/>
        </w:rPr>
        <w:t>其他符合法律规定情形的。</w:t>
      </w:r>
    </w:p>
    <w:p>
      <w:pPr>
        <w:pStyle w:val="95"/>
        <w:adjustRightInd w:val="0"/>
        <w:snapToGrid w:val="0"/>
        <w:spacing w:before="156" w:beforeLines="50" w:line="360" w:lineRule="auto"/>
        <w:ind w:firstLine="482" w:firstLineChars="200"/>
        <w:rPr>
          <w:rFonts w:ascii="宋体"/>
          <w:bCs/>
          <w:sz w:val="24"/>
        </w:rPr>
      </w:pPr>
      <w:r>
        <w:rPr>
          <w:rFonts w:hint="eastAsia" w:ascii="宋体" w:hAnsi="宋体"/>
          <w:b/>
          <w:bCs/>
          <w:sz w:val="24"/>
        </w:rPr>
        <w:t>第十二条不可抗力</w:t>
      </w:r>
    </w:p>
    <w:p>
      <w:pPr>
        <w:pStyle w:val="95"/>
        <w:adjustRightInd w:val="0"/>
        <w:snapToGrid w:val="0"/>
        <w:spacing w:line="360" w:lineRule="auto"/>
        <w:ind w:firstLine="480" w:firstLineChars="200"/>
        <w:rPr>
          <w:rFonts w:ascii="宋体"/>
          <w:snapToGrid w:val="0"/>
          <w:sz w:val="24"/>
        </w:rPr>
      </w:pPr>
      <w:r>
        <w:rPr>
          <w:rFonts w:ascii="宋体" w:hAnsi="宋体"/>
          <w:sz w:val="24"/>
        </w:rPr>
        <w:t>1</w:t>
      </w:r>
      <w:r>
        <w:rPr>
          <w:rFonts w:hint="eastAsia" w:ascii="宋体" w:hAnsi="宋体"/>
          <w:sz w:val="24"/>
        </w:rPr>
        <w:t>、遭受不可抗力事件的一方应</w:t>
      </w:r>
      <w:r>
        <w:rPr>
          <w:rFonts w:hint="eastAsia" w:ascii="宋体" w:hAnsi="宋体" w:cs="Tahoma"/>
          <w:b/>
          <w:kern w:val="0"/>
          <w:sz w:val="24"/>
        </w:rPr>
        <w:t>在</w:t>
      </w:r>
      <w:r>
        <w:rPr>
          <w:rFonts w:ascii="宋体" w:cs="Tahoma"/>
          <w:b/>
          <w:kern w:val="0"/>
          <w:sz w:val="24"/>
          <w:u w:val="single"/>
        </w:rPr>
        <w:t> </w:t>
      </w:r>
      <w:r>
        <w:rPr>
          <w:rFonts w:ascii="宋体" w:hAnsi="宋体" w:cs="Tahoma"/>
          <w:b/>
          <w:kern w:val="0"/>
          <w:sz w:val="24"/>
          <w:u w:val="single"/>
        </w:rPr>
        <w:t>24  </w:t>
      </w:r>
      <w:r>
        <w:rPr>
          <w:rFonts w:hint="eastAsia" w:ascii="宋体" w:hAnsi="宋体" w:cs="Tahoma"/>
          <w:b/>
          <w:kern w:val="0"/>
          <w:sz w:val="24"/>
        </w:rPr>
        <w:t>小时内</w:t>
      </w:r>
      <w:r>
        <w:rPr>
          <w:rFonts w:hint="eastAsia" w:ascii="宋体" w:hAnsi="宋体" w:cs="Tahoma"/>
          <w:kern w:val="0"/>
          <w:sz w:val="24"/>
        </w:rPr>
        <w:t>将事件情况</w:t>
      </w:r>
      <w:r>
        <w:rPr>
          <w:rFonts w:hint="eastAsia" w:ascii="宋体" w:hAnsi="宋体"/>
          <w:sz w:val="24"/>
        </w:rPr>
        <w:t>用可能的最快捷的方式通知对方本合同有关事项</w:t>
      </w:r>
      <w:r>
        <w:rPr>
          <w:rFonts w:hint="eastAsia" w:ascii="宋体" w:hAnsi="宋体"/>
          <w:snapToGrid w:val="0"/>
          <w:sz w:val="24"/>
        </w:rPr>
        <w:t>不能履行或不能完全履行</w:t>
      </w:r>
      <w:r>
        <w:rPr>
          <w:rFonts w:hint="eastAsia" w:ascii="宋体" w:hAnsi="宋体" w:cs="Tahoma"/>
          <w:kern w:val="0"/>
          <w:sz w:val="24"/>
        </w:rPr>
        <w:t>以避免</w:t>
      </w:r>
      <w:r>
        <w:rPr>
          <w:rFonts w:hint="eastAsia" w:ascii="宋体" w:hAnsi="宋体" w:cs="宋体"/>
          <w:kern w:val="0"/>
          <w:sz w:val="24"/>
        </w:rPr>
        <w:t>对方</w:t>
      </w:r>
      <w:r>
        <w:rPr>
          <w:rFonts w:hint="eastAsia" w:ascii="宋体" w:hAnsi="宋体" w:cs="Tahoma"/>
          <w:kern w:val="0"/>
          <w:sz w:val="24"/>
        </w:rPr>
        <w:t>损失的扩大</w:t>
      </w:r>
      <w:r>
        <w:rPr>
          <w:rFonts w:hint="eastAsia" w:ascii="宋体" w:hAnsi="宋体"/>
          <w:sz w:val="24"/>
        </w:rPr>
        <w:t>，并在该不可抗力事件发生之日起的</w:t>
      </w:r>
      <w:r>
        <w:rPr>
          <w:rFonts w:hint="eastAsia" w:ascii="宋体" w:hAnsi="宋体"/>
          <w:b/>
          <w:sz w:val="24"/>
          <w:u w:val="single"/>
        </w:rPr>
        <w:t>　十五日内　</w:t>
      </w:r>
      <w:r>
        <w:rPr>
          <w:rFonts w:hint="eastAsia" w:ascii="宋体" w:hAnsi="宋体"/>
          <w:sz w:val="24"/>
        </w:rPr>
        <w:t>提供</w:t>
      </w:r>
      <w:r>
        <w:rPr>
          <w:rFonts w:hint="eastAsia" w:ascii="宋体" w:hAnsi="宋体"/>
          <w:snapToGrid w:val="0"/>
          <w:sz w:val="24"/>
        </w:rPr>
        <w:t>不可抗力发生地市级以上政府相关部门证明</w:t>
      </w:r>
      <w:r>
        <w:rPr>
          <w:rFonts w:hint="eastAsia" w:ascii="宋体" w:hAnsi="宋体"/>
          <w:sz w:val="24"/>
        </w:rPr>
        <w:t>文件，并以</w:t>
      </w:r>
      <w:r>
        <w:rPr>
          <w:rFonts w:hint="eastAsia" w:ascii="宋体" w:hAnsi="宋体"/>
          <w:b/>
          <w:sz w:val="24"/>
          <w:u w:val="single"/>
        </w:rPr>
        <w:t>书面</w:t>
      </w:r>
      <w:r>
        <w:rPr>
          <w:rFonts w:hint="eastAsia" w:ascii="宋体" w:hAnsi="宋体" w:cs="Tahoma"/>
          <w:b/>
          <w:kern w:val="0"/>
          <w:sz w:val="24"/>
          <w:u w:val="single"/>
        </w:rPr>
        <w:t>报告</w:t>
      </w:r>
      <w:r>
        <w:rPr>
          <w:rFonts w:hint="eastAsia" w:ascii="宋体" w:hAnsi="宋体"/>
          <w:sz w:val="24"/>
        </w:rPr>
        <w:t>说明该事件的细节和不能履行或部分不能履行或延迟履行本</w:t>
      </w:r>
      <w:r>
        <w:rPr>
          <w:rFonts w:hint="eastAsia" w:ascii="宋体" w:hAnsi="宋体"/>
          <w:kern w:val="0"/>
          <w:sz w:val="24"/>
        </w:rPr>
        <w:t>合同</w:t>
      </w:r>
      <w:r>
        <w:rPr>
          <w:rFonts w:hint="eastAsia" w:ascii="宋体" w:hAnsi="宋体"/>
          <w:sz w:val="24"/>
        </w:rPr>
        <w:t>的事因</w:t>
      </w:r>
      <w:r>
        <w:rPr>
          <w:rFonts w:hint="eastAsia" w:ascii="宋体" w:hAnsi="宋体"/>
          <w:snapToGrid w:val="0"/>
          <w:sz w:val="24"/>
        </w:rPr>
        <w:t>以后，允许延期履行、部分履行或者解除合同，并根据情况可部分或全部免于承担违约或赔偿责任。</w:t>
      </w:r>
    </w:p>
    <w:p>
      <w:pPr>
        <w:pStyle w:val="95"/>
        <w:adjustRightInd w:val="0"/>
        <w:snapToGrid w:val="0"/>
        <w:spacing w:line="360" w:lineRule="auto"/>
        <w:ind w:firstLine="480" w:firstLineChars="200"/>
        <w:rPr>
          <w:rFonts w:ascii="宋体"/>
          <w:snapToGrid w:val="0"/>
          <w:sz w:val="24"/>
        </w:rPr>
      </w:pPr>
      <w:r>
        <w:rPr>
          <w:rFonts w:ascii="宋体" w:hAnsi="宋体"/>
          <w:sz w:val="24"/>
        </w:rPr>
        <w:t>2</w:t>
      </w:r>
      <w:r>
        <w:rPr>
          <w:rFonts w:hint="eastAsia" w:ascii="宋体" w:hAnsi="宋体"/>
          <w:sz w:val="24"/>
        </w:rPr>
        <w:t>、任何一方对于因不可抗力而造成合同</w:t>
      </w:r>
      <w:r>
        <w:rPr>
          <w:rFonts w:hint="eastAsia" w:ascii="宋体" w:hAnsi="宋体" w:cs="Tahoma"/>
          <w:kern w:val="0"/>
          <w:sz w:val="24"/>
        </w:rPr>
        <w:t>部分或全部</w:t>
      </w:r>
      <w:r>
        <w:rPr>
          <w:rFonts w:hint="eastAsia" w:ascii="宋体" w:hAnsi="宋体"/>
          <w:sz w:val="24"/>
        </w:rPr>
        <w:t>不能履行的，不承担违约责任，但是如果因一方违约而致合同履行延期并在延期阶段遭遇不可抗力的，则不得以不可抗力为由主张其免除履行责任、违约责任或损害赔偿责任。</w:t>
      </w:r>
    </w:p>
    <w:p>
      <w:pPr>
        <w:pStyle w:val="95"/>
        <w:adjustRightInd w:val="0"/>
        <w:snapToGrid w:val="0"/>
        <w:spacing w:line="360" w:lineRule="auto"/>
        <w:ind w:firstLine="480" w:firstLineChars="200"/>
        <w:rPr>
          <w:rFonts w:ascii="宋体"/>
          <w:b/>
          <w:sz w:val="24"/>
        </w:rPr>
      </w:pPr>
      <w:r>
        <w:rPr>
          <w:rFonts w:ascii="宋体" w:hAnsi="宋体" w:cs="Tahoma"/>
          <w:kern w:val="0"/>
          <w:sz w:val="24"/>
        </w:rPr>
        <w:t>3</w:t>
      </w:r>
      <w:r>
        <w:rPr>
          <w:rFonts w:hint="eastAsia" w:ascii="宋体" w:hAnsi="宋体" w:cs="Tahoma"/>
          <w:kern w:val="0"/>
          <w:sz w:val="24"/>
        </w:rPr>
        <w:t>、遇有不可抗力的一方，</w:t>
      </w:r>
      <w:r>
        <w:rPr>
          <w:rFonts w:hint="eastAsia" w:ascii="宋体" w:hAnsi="宋体"/>
          <w:sz w:val="24"/>
        </w:rPr>
        <w:t>必须采取必要的补救措施</w:t>
      </w:r>
      <w:r>
        <w:rPr>
          <w:rFonts w:hint="eastAsia" w:ascii="宋体" w:hAnsi="宋体" w:cs="Tahoma"/>
          <w:kern w:val="0"/>
          <w:sz w:val="24"/>
        </w:rPr>
        <w:t>以减少因不可抗力造成的损失；未</w:t>
      </w:r>
      <w:r>
        <w:rPr>
          <w:rFonts w:hint="eastAsia" w:ascii="宋体" w:hAnsi="宋体"/>
          <w:sz w:val="24"/>
        </w:rPr>
        <w:t>采取必要的补救措施而致损失扩大者，应就扩大的损失承担相应的损害赔偿责任。</w:t>
      </w:r>
    </w:p>
    <w:p>
      <w:pPr>
        <w:pStyle w:val="95"/>
        <w:adjustRightInd w:val="0"/>
        <w:snapToGrid w:val="0"/>
        <w:spacing w:line="360" w:lineRule="auto"/>
        <w:ind w:firstLine="480" w:firstLineChars="200"/>
        <w:jc w:val="left"/>
        <w:rPr>
          <w:rFonts w:ascii="宋体"/>
          <w:sz w:val="24"/>
        </w:rPr>
      </w:pPr>
      <w:r>
        <w:rPr>
          <w:rFonts w:ascii="宋体" w:hAnsi="宋体"/>
          <w:sz w:val="24"/>
        </w:rPr>
        <w:t>4</w:t>
      </w:r>
      <w:r>
        <w:rPr>
          <w:rFonts w:hint="eastAsia" w:ascii="宋体" w:hAnsi="宋体"/>
          <w:sz w:val="24"/>
        </w:rPr>
        <w:t>、因不可抗力导致本合同无法履行或合同目的无法实现，经双方协商一致，可以解除合同。</w:t>
      </w:r>
    </w:p>
    <w:p>
      <w:pPr>
        <w:pStyle w:val="95"/>
        <w:adjustRightInd w:val="0"/>
        <w:snapToGrid w:val="0"/>
        <w:spacing w:line="360" w:lineRule="auto"/>
        <w:ind w:firstLine="480" w:firstLineChars="200"/>
        <w:rPr>
          <w:rFonts w:ascii="宋体"/>
          <w:sz w:val="24"/>
        </w:rPr>
      </w:pPr>
      <w:r>
        <w:rPr>
          <w:rFonts w:ascii="宋体" w:hAnsi="宋体"/>
          <w:sz w:val="24"/>
        </w:rPr>
        <w:t>5</w:t>
      </w:r>
      <w:r>
        <w:rPr>
          <w:rFonts w:hint="eastAsia" w:ascii="宋体" w:hAnsi="宋体"/>
          <w:sz w:val="24"/>
        </w:rPr>
        <w:t>、如对政府主管部门出具的不可抗力存有异议并因此发生纠纷，应提交仲裁机构解决，并以仲裁裁决为准。但双方或本合同三方因该不可抗力争议而进行的仲裁或诉讼程序，不影响本合同的可履行性。</w:t>
      </w:r>
    </w:p>
    <w:p>
      <w:pPr>
        <w:pStyle w:val="95"/>
        <w:adjustRightInd w:val="0"/>
        <w:snapToGrid w:val="0"/>
        <w:spacing w:before="156" w:beforeLines="50" w:line="360" w:lineRule="auto"/>
        <w:ind w:left="482"/>
        <w:rPr>
          <w:rFonts w:ascii="宋体"/>
          <w:b/>
          <w:bCs/>
          <w:sz w:val="24"/>
        </w:rPr>
      </w:pPr>
      <w:r>
        <w:rPr>
          <w:rFonts w:hint="eastAsia" w:ascii="宋体" w:hAnsi="宋体"/>
          <w:b/>
          <w:bCs/>
          <w:sz w:val="24"/>
        </w:rPr>
        <w:t>第十三条情势变更</w:t>
      </w:r>
    </w:p>
    <w:p>
      <w:pPr>
        <w:pStyle w:val="95"/>
        <w:adjustRightInd w:val="0"/>
        <w:snapToGrid w:val="0"/>
        <w:spacing w:before="156" w:beforeLines="50" w:line="360" w:lineRule="auto"/>
        <w:rPr>
          <w:rFonts w:ascii="宋体"/>
          <w:b/>
          <w:bCs/>
          <w:sz w:val="24"/>
        </w:rPr>
      </w:pPr>
      <w:r>
        <w:rPr>
          <w:rFonts w:hint="eastAsia" w:ascii="宋体" w:hAnsi="宋体"/>
          <w:bCs/>
          <w:sz w:val="24"/>
        </w:rPr>
        <w:t>　　因情势变更导致履行本合同的基础发生改变，由当事人协商变更；无法协商一致的，受情势变更之不利影响一方，可以请求仲裁或诉讼解决，但不得单方解除合同。</w:t>
      </w:r>
    </w:p>
    <w:p>
      <w:pPr>
        <w:pStyle w:val="95"/>
        <w:adjustRightInd w:val="0"/>
        <w:snapToGrid w:val="0"/>
        <w:spacing w:before="156" w:beforeLines="50" w:line="360" w:lineRule="auto"/>
        <w:ind w:left="482"/>
        <w:rPr>
          <w:rFonts w:ascii="宋体"/>
          <w:b/>
          <w:bCs/>
          <w:sz w:val="24"/>
        </w:rPr>
      </w:pPr>
      <w:r>
        <w:rPr>
          <w:rFonts w:hint="eastAsia" w:ascii="宋体" w:hAnsi="宋体"/>
          <w:b/>
          <w:bCs/>
          <w:sz w:val="24"/>
        </w:rPr>
        <w:t>第十四条　违约责任</w:t>
      </w:r>
    </w:p>
    <w:p>
      <w:pPr>
        <w:pStyle w:val="95"/>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本合同项下的各种货物，即使在使用功能上不存在任何相互关联性，亦应视为整体货物；违约迟延交付的那一部分货物，即使对本合同中的其他标的物之安装、验收、使用等不构成任何影响，亦应按合同总价作为计算违约金的基数。</w:t>
      </w:r>
    </w:p>
    <w:p>
      <w:pPr>
        <w:pStyle w:val="95"/>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违约金不足以弥补实际损失的，应赔偿实际损失。该“实际损失”包括利息、实现债权的全部费用（包括但不限于诉讼或仲裁费用、律师费、差旅费、邮件费、公告费、鉴定和调查取证费用）以及财产性行政处罚等。</w:t>
      </w:r>
    </w:p>
    <w:p>
      <w:pPr>
        <w:pStyle w:val="95"/>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、本条第</w:t>
      </w:r>
      <w:r>
        <w:rPr>
          <w:rFonts w:ascii="宋体" w:hAnsi="宋体"/>
          <w:sz w:val="24"/>
        </w:rPr>
        <w:t>1</w:t>
      </w:r>
      <w:r>
        <w:rPr>
          <w:rFonts w:hint="eastAsia" w:ascii="宋体" w:hAnsi="宋体"/>
          <w:sz w:val="24"/>
        </w:rPr>
        <w:t>款和第</w:t>
      </w:r>
      <w:r>
        <w:rPr>
          <w:rFonts w:ascii="宋体" w:hAnsi="宋体"/>
          <w:sz w:val="24"/>
        </w:rPr>
        <w:t>2</w:t>
      </w:r>
      <w:r>
        <w:rPr>
          <w:rFonts w:hint="eastAsia" w:ascii="宋体" w:hAnsi="宋体"/>
          <w:sz w:val="24"/>
        </w:rPr>
        <w:t>款关于违约金和赔偿金计算方法之约定，为总则性条款，其均适用于各种情形下的违约和损害赔偿责任之计算。</w:t>
      </w:r>
    </w:p>
    <w:p>
      <w:pPr>
        <w:pStyle w:val="95"/>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rPr>
        <w:t>、甲方无正当理由拒收货物的，甲方向乙方支付合同总价</w:t>
      </w:r>
      <w:r>
        <w:rPr>
          <w:rFonts w:hint="eastAsia" w:ascii="宋体" w:hAnsi="宋体"/>
          <w:b/>
          <w:sz w:val="24"/>
          <w:u w:val="single"/>
        </w:rPr>
        <w:t>百分之三　</w:t>
      </w:r>
      <w:r>
        <w:rPr>
          <w:rFonts w:hint="eastAsia" w:ascii="宋体" w:hAnsi="宋体"/>
          <w:sz w:val="24"/>
        </w:rPr>
        <w:t>的违约金。</w:t>
      </w:r>
    </w:p>
    <w:p>
      <w:pPr>
        <w:pStyle w:val="95"/>
        <w:adjustRightInd w:val="0"/>
        <w:snapToGrid w:val="0"/>
        <w:spacing w:line="360" w:lineRule="auto"/>
        <w:ind w:firstLine="480" w:firstLineChars="200"/>
        <w:rPr>
          <w:rFonts w:ascii="宋体"/>
          <w:sz w:val="24"/>
        </w:rPr>
      </w:pPr>
      <w:r>
        <w:rPr>
          <w:rFonts w:ascii="宋体" w:hAnsi="宋体"/>
          <w:sz w:val="24"/>
        </w:rPr>
        <w:t>5</w:t>
      </w:r>
      <w:r>
        <w:rPr>
          <w:rFonts w:hint="eastAsia" w:ascii="宋体" w:hAnsi="宋体"/>
          <w:sz w:val="24"/>
        </w:rPr>
        <w:t>、甲方逾期付款的，</w:t>
      </w:r>
      <w:r>
        <w:rPr>
          <w:rFonts w:hint="eastAsia" w:ascii="宋体" w:hAnsi="宋体"/>
          <w:b/>
          <w:sz w:val="24"/>
        </w:rPr>
        <w:t>每逾期一天</w:t>
      </w:r>
      <w:r>
        <w:rPr>
          <w:rFonts w:hint="eastAsia" w:ascii="宋体" w:hAnsi="宋体" w:cs="Arial"/>
          <w:sz w:val="24"/>
        </w:rPr>
        <w:t>应向乙方支付应付而未付款额的</w:t>
      </w:r>
      <w:r>
        <w:rPr>
          <w:rFonts w:hint="eastAsia" w:ascii="宋体" w:hAnsi="宋体" w:cs="Arial"/>
          <w:b/>
          <w:sz w:val="24"/>
          <w:u w:val="single"/>
        </w:rPr>
        <w:t>　万分之三</w:t>
      </w:r>
      <w:r>
        <w:rPr>
          <w:rFonts w:hint="eastAsia" w:ascii="宋体" w:hAnsi="宋体" w:cs="Arial"/>
          <w:sz w:val="24"/>
          <w:u w:val="single"/>
        </w:rPr>
        <w:t>　</w:t>
      </w:r>
      <w:r>
        <w:rPr>
          <w:rFonts w:hint="eastAsia" w:ascii="宋体" w:hAnsi="宋体" w:cs="Arial"/>
          <w:sz w:val="24"/>
        </w:rPr>
        <w:t>的违约金。</w:t>
      </w:r>
    </w:p>
    <w:p>
      <w:pPr>
        <w:pStyle w:val="95"/>
        <w:adjustRightInd w:val="0"/>
        <w:snapToGrid w:val="0"/>
        <w:spacing w:line="360" w:lineRule="auto"/>
        <w:ind w:firstLine="480" w:firstLineChars="200"/>
        <w:rPr>
          <w:rFonts w:ascii="宋体" w:cs="宋体"/>
          <w:kern w:val="0"/>
          <w:sz w:val="24"/>
        </w:rPr>
      </w:pPr>
      <w:r>
        <w:rPr>
          <w:rFonts w:ascii="宋体" w:hAnsi="宋体"/>
          <w:sz w:val="24"/>
        </w:rPr>
        <w:t>6</w:t>
      </w:r>
      <w:r>
        <w:rPr>
          <w:rFonts w:hint="eastAsia" w:ascii="宋体" w:hAnsi="宋体"/>
          <w:sz w:val="24"/>
        </w:rPr>
        <w:t>、乙方逾期交齐货物，或者因质量验收迟延而应视为逾期交货的，</w:t>
      </w:r>
      <w:r>
        <w:rPr>
          <w:rFonts w:hint="eastAsia" w:ascii="宋体" w:hAnsi="宋体"/>
          <w:b/>
          <w:sz w:val="24"/>
        </w:rPr>
        <w:t>每逾期一天</w:t>
      </w:r>
      <w:r>
        <w:rPr>
          <w:rFonts w:hint="eastAsia" w:ascii="宋体" w:hAnsi="宋体" w:cs="Arial"/>
          <w:sz w:val="24"/>
        </w:rPr>
        <w:t>按合同总价</w:t>
      </w:r>
      <w:r>
        <w:rPr>
          <w:rFonts w:hint="eastAsia" w:ascii="宋体" w:hAnsi="宋体"/>
          <w:sz w:val="24"/>
        </w:rPr>
        <w:t>的</w:t>
      </w:r>
      <w:r>
        <w:rPr>
          <w:rFonts w:hint="eastAsia" w:ascii="宋体" w:hAnsi="宋体"/>
          <w:b/>
          <w:sz w:val="24"/>
          <w:u w:val="single"/>
        </w:rPr>
        <w:t>　万分之三</w:t>
      </w:r>
      <w:r>
        <w:rPr>
          <w:rFonts w:hint="eastAsia" w:ascii="宋体" w:hAnsi="宋体"/>
          <w:sz w:val="24"/>
          <w:u w:val="single"/>
        </w:rPr>
        <w:t>　</w:t>
      </w:r>
      <w:r>
        <w:rPr>
          <w:rFonts w:hint="eastAsia" w:ascii="宋体" w:hAnsi="宋体"/>
          <w:sz w:val="24"/>
        </w:rPr>
        <w:t>　向甲方支付违约金，累计至交齐货物之日止</w:t>
      </w:r>
      <w:r>
        <w:rPr>
          <w:rFonts w:hint="eastAsia" w:ascii="宋体" w:hAnsi="宋体" w:cs="宋体"/>
          <w:kern w:val="0"/>
          <w:sz w:val="24"/>
        </w:rPr>
        <w:t>。</w:t>
      </w:r>
    </w:p>
    <w:p>
      <w:pPr>
        <w:pStyle w:val="95"/>
        <w:adjustRightInd w:val="0"/>
        <w:snapToGrid w:val="0"/>
        <w:spacing w:line="360" w:lineRule="auto"/>
        <w:ind w:firstLine="480" w:firstLineChars="200"/>
        <w:rPr>
          <w:rFonts w:ascii="宋体"/>
          <w:sz w:val="24"/>
        </w:rPr>
      </w:pPr>
      <w:r>
        <w:rPr>
          <w:rFonts w:ascii="宋体" w:hAnsi="宋体"/>
          <w:sz w:val="24"/>
        </w:rPr>
        <w:t>7</w:t>
      </w:r>
      <w:r>
        <w:rPr>
          <w:rFonts w:hint="eastAsia" w:ascii="宋体" w:hAnsi="宋体"/>
          <w:sz w:val="24"/>
        </w:rPr>
        <w:t>、乙方超过三十天仍未交齐货物，或者因质量验收迟延而应视为逾期交货的，应按合同总价的</w:t>
      </w:r>
      <w:r>
        <w:rPr>
          <w:rFonts w:hint="eastAsia" w:ascii="宋体" w:hAnsi="宋体"/>
          <w:b/>
          <w:sz w:val="24"/>
          <w:u w:val="single"/>
        </w:rPr>
        <w:t>　百分之二十　</w:t>
      </w:r>
      <w:r>
        <w:rPr>
          <w:rFonts w:hint="eastAsia" w:ascii="宋体" w:hAnsi="宋体"/>
          <w:sz w:val="24"/>
        </w:rPr>
        <w:t>向甲方支付违约金。经催告后在合理期限内仍不能交齐货物的，甲方有权单方解除合同且该解除效果不影响违约金之支付。</w:t>
      </w:r>
    </w:p>
    <w:p>
      <w:pPr>
        <w:pStyle w:val="95"/>
        <w:adjustRightInd w:val="0"/>
        <w:snapToGrid w:val="0"/>
        <w:spacing w:line="360" w:lineRule="auto"/>
        <w:ind w:firstLine="480" w:firstLineChars="200"/>
        <w:rPr>
          <w:rFonts w:ascii="宋体"/>
          <w:sz w:val="24"/>
        </w:rPr>
      </w:pPr>
      <w:r>
        <w:rPr>
          <w:rFonts w:ascii="宋体" w:hAnsi="宋体"/>
          <w:sz w:val="24"/>
        </w:rPr>
        <w:t>8</w:t>
      </w:r>
      <w:r>
        <w:rPr>
          <w:rFonts w:hint="eastAsia" w:ascii="宋体" w:hAnsi="宋体"/>
          <w:sz w:val="24"/>
        </w:rPr>
        <w:t>、乙方未及时履行本合同第九条约定的义务，且经甲方书面催告后，拒不履行的，甲方有权扣除质保金；无质保金可扣除或质保金已被甲方扣除了的，乙方应按</w:t>
      </w:r>
      <w:r>
        <w:rPr>
          <w:rFonts w:hint="eastAsia" w:ascii="宋体" w:hAnsi="宋体"/>
          <w:b/>
          <w:sz w:val="24"/>
        </w:rPr>
        <w:t>合同总价的</w:t>
      </w:r>
      <w:r>
        <w:rPr>
          <w:rFonts w:hint="eastAsia" w:ascii="宋体" w:hAnsi="宋体"/>
          <w:b/>
          <w:sz w:val="24"/>
          <w:u w:val="single"/>
        </w:rPr>
        <w:t>百分之十</w:t>
      </w:r>
      <w:r>
        <w:rPr>
          <w:rFonts w:hint="eastAsia" w:ascii="宋体" w:hAnsi="宋体"/>
          <w:sz w:val="24"/>
        </w:rPr>
        <w:t>支付违约金。</w:t>
      </w:r>
    </w:p>
    <w:p>
      <w:pPr>
        <w:pStyle w:val="95"/>
        <w:adjustRightInd w:val="0"/>
        <w:snapToGrid w:val="0"/>
        <w:spacing w:line="360" w:lineRule="auto"/>
        <w:ind w:firstLine="480" w:firstLineChars="200"/>
        <w:rPr>
          <w:rFonts w:ascii="宋体"/>
          <w:sz w:val="24"/>
        </w:rPr>
      </w:pPr>
      <w:r>
        <w:rPr>
          <w:rFonts w:ascii="宋体" w:hAnsi="宋体"/>
          <w:sz w:val="24"/>
        </w:rPr>
        <w:t>9</w:t>
      </w:r>
      <w:r>
        <w:rPr>
          <w:rFonts w:hint="eastAsia" w:ascii="宋体" w:hAnsi="宋体"/>
          <w:sz w:val="24"/>
        </w:rPr>
        <w:t>、乙方保证其出售的本合同项下的货物无任何权利瑕疵，包括货物在所有权、知识产权、许可销售权等方面的权利瑕疵。如果任何第三人被仲裁机构裁决或被法院判决有权对本合同项下的全部或部分货物主张权利，或货物被国家行政机关依法查处、查封、罚没，乙方除应赔偿甲方的实际损失外，还应</w:t>
      </w:r>
      <w:r>
        <w:rPr>
          <w:rFonts w:hint="eastAsia" w:ascii="宋体" w:hAnsi="宋体"/>
          <w:b/>
          <w:sz w:val="24"/>
        </w:rPr>
        <w:t>另行按合同总价的</w:t>
      </w:r>
      <w:r>
        <w:rPr>
          <w:rFonts w:hint="eastAsia" w:ascii="宋体" w:hAnsi="宋体"/>
          <w:b/>
          <w:sz w:val="24"/>
          <w:u w:val="single"/>
        </w:rPr>
        <w:t>　百分之二十　</w:t>
      </w:r>
      <w:r>
        <w:rPr>
          <w:rFonts w:hint="eastAsia" w:ascii="宋体" w:hAnsi="宋体"/>
          <w:b/>
          <w:sz w:val="24"/>
        </w:rPr>
        <w:t>向甲方支付惩罚性违约金</w:t>
      </w:r>
      <w:r>
        <w:rPr>
          <w:rFonts w:hint="eastAsia" w:ascii="宋体" w:hAnsi="宋体"/>
          <w:sz w:val="24"/>
        </w:rPr>
        <w:t>。</w:t>
      </w:r>
    </w:p>
    <w:p>
      <w:pPr>
        <w:pStyle w:val="95"/>
        <w:adjustRightInd w:val="0"/>
        <w:snapToGrid w:val="0"/>
        <w:spacing w:line="360" w:lineRule="auto"/>
        <w:ind w:firstLine="480" w:firstLineChars="200"/>
        <w:rPr>
          <w:rFonts w:ascii="宋体"/>
          <w:sz w:val="24"/>
        </w:rPr>
      </w:pPr>
      <w:r>
        <w:rPr>
          <w:rFonts w:ascii="宋体" w:hAnsi="宋体" w:cs="Arial"/>
          <w:sz w:val="24"/>
        </w:rPr>
        <w:t>10</w:t>
      </w:r>
      <w:r>
        <w:rPr>
          <w:rFonts w:hint="eastAsia" w:ascii="宋体" w:hAnsi="宋体" w:cs="Arial"/>
          <w:sz w:val="24"/>
        </w:rPr>
        <w:t>、</w:t>
      </w:r>
      <w:r>
        <w:rPr>
          <w:rFonts w:hint="eastAsia" w:ascii="宋体" w:hAnsi="宋体"/>
          <w:snapToGrid w:val="0"/>
          <w:sz w:val="24"/>
        </w:rPr>
        <w:t>乙方擅自对本合同约定的货物进行替代的，视甲方交付不能，甲方除了有权解除合同外，同时有权按</w:t>
      </w:r>
      <w:r>
        <w:rPr>
          <w:rFonts w:hint="eastAsia" w:ascii="宋体" w:hAnsi="宋体"/>
          <w:sz w:val="24"/>
        </w:rPr>
        <w:t>合同总价的</w:t>
      </w:r>
      <w:r>
        <w:rPr>
          <w:rFonts w:hint="eastAsia" w:ascii="宋体" w:hAnsi="宋体"/>
          <w:b/>
          <w:sz w:val="24"/>
          <w:u w:val="single"/>
        </w:rPr>
        <w:t>　百分之三十　</w:t>
      </w:r>
      <w:r>
        <w:rPr>
          <w:rFonts w:hint="eastAsia" w:ascii="宋体" w:hAnsi="宋体"/>
          <w:sz w:val="24"/>
        </w:rPr>
        <w:t>的标准要求乙方支付违约金</w:t>
      </w:r>
      <w:r>
        <w:rPr>
          <w:rFonts w:hint="eastAsia" w:ascii="宋体" w:hAnsi="宋体"/>
          <w:snapToGrid w:val="0"/>
          <w:sz w:val="24"/>
        </w:rPr>
        <w:t>。</w:t>
      </w:r>
    </w:p>
    <w:p>
      <w:pPr>
        <w:pStyle w:val="95"/>
        <w:widowControl/>
        <w:tabs>
          <w:tab w:val="left" w:pos="840"/>
          <w:tab w:val="left" w:pos="1365"/>
        </w:tabs>
        <w:adjustRightInd w:val="0"/>
        <w:snapToGrid w:val="0"/>
        <w:spacing w:line="360" w:lineRule="auto"/>
        <w:ind w:firstLine="480" w:firstLineChars="200"/>
        <w:rPr>
          <w:rFonts w:ascii="宋体"/>
          <w:sz w:val="24"/>
        </w:rPr>
      </w:pPr>
      <w:r>
        <w:rPr>
          <w:rFonts w:ascii="宋体" w:hAnsi="宋体" w:cs="宋体"/>
          <w:kern w:val="0"/>
          <w:sz w:val="24"/>
        </w:rPr>
        <w:t>11</w:t>
      </w:r>
      <w:r>
        <w:rPr>
          <w:rFonts w:hint="eastAsia" w:ascii="宋体" w:hAnsi="宋体" w:cs="宋体"/>
          <w:kern w:val="0"/>
          <w:sz w:val="24"/>
        </w:rPr>
        <w:t>、</w:t>
      </w:r>
      <w:r>
        <w:rPr>
          <w:rFonts w:hint="eastAsia" w:ascii="宋体" w:hAnsi="宋体" w:cs="Arial"/>
          <w:b/>
          <w:bCs/>
          <w:sz w:val="24"/>
          <w:u w:val="single"/>
        </w:rPr>
        <w:t>发出中标通知书后</w:t>
      </w:r>
      <w:r>
        <w:rPr>
          <w:rFonts w:ascii="宋体" w:hAnsi="宋体" w:cs="Arial"/>
          <w:b/>
          <w:bCs/>
          <w:sz w:val="24"/>
          <w:u w:val="single"/>
        </w:rPr>
        <w:t>30</w:t>
      </w:r>
      <w:r>
        <w:rPr>
          <w:rFonts w:hint="eastAsia" w:ascii="宋体" w:hAnsi="宋体" w:cs="Arial"/>
          <w:b/>
          <w:bCs/>
          <w:sz w:val="24"/>
          <w:u w:val="single"/>
        </w:rPr>
        <w:t>日内</w:t>
      </w:r>
      <w:r>
        <w:rPr>
          <w:rFonts w:hint="eastAsia" w:ascii="宋体" w:hAnsi="宋体" w:cs="Arial"/>
          <w:sz w:val="24"/>
        </w:rPr>
        <w:t>，乙方拒绝</w:t>
      </w:r>
      <w:r>
        <w:rPr>
          <w:rFonts w:hint="eastAsia" w:ascii="宋体" w:hAnsi="宋体"/>
          <w:sz w:val="24"/>
        </w:rPr>
        <w:t>签订正式书面合同的，甲方有权按合同总价的</w:t>
      </w:r>
      <w:r>
        <w:rPr>
          <w:rFonts w:hint="eastAsia" w:ascii="宋体" w:hAnsi="宋体"/>
          <w:b/>
          <w:sz w:val="24"/>
          <w:u w:val="single"/>
        </w:rPr>
        <w:t>　百分之五　</w:t>
      </w:r>
      <w:r>
        <w:rPr>
          <w:rFonts w:hint="eastAsia" w:ascii="宋体" w:hAnsi="宋体"/>
          <w:sz w:val="24"/>
        </w:rPr>
        <w:t>的标准向乙方要求支付违约金。</w:t>
      </w:r>
    </w:p>
    <w:p>
      <w:pPr>
        <w:pStyle w:val="107"/>
        <w:adjustRightInd w:val="0"/>
        <w:snapToGrid w:val="0"/>
        <w:spacing w:line="360" w:lineRule="auto"/>
        <w:ind w:firstLine="480" w:firstLineChars="200"/>
        <w:rPr>
          <w:rFonts w:ascii="宋体" w:hAnsi="宋体" w:eastAsia="宋体"/>
          <w:sz w:val="24"/>
          <w:szCs w:val="24"/>
        </w:rPr>
      </w:pPr>
      <w:r>
        <w:rPr>
          <w:rFonts w:ascii="宋体" w:hAnsi="宋体"/>
          <w:kern w:val="0"/>
          <w:sz w:val="24"/>
          <w:szCs w:val="24"/>
        </w:rPr>
        <w:t>12</w:t>
      </w:r>
      <w:r>
        <w:rPr>
          <w:rFonts w:hint="eastAsia" w:ascii="宋体" w:hAnsi="宋体"/>
          <w:kern w:val="0"/>
          <w:sz w:val="24"/>
          <w:szCs w:val="24"/>
        </w:rPr>
        <w:t>、</w:t>
      </w:r>
      <w:r>
        <w:rPr>
          <w:rFonts w:hint="eastAsia" w:ascii="宋体" w:hAnsi="宋体" w:eastAsia="宋体"/>
          <w:sz w:val="24"/>
          <w:szCs w:val="24"/>
        </w:rPr>
        <w:t>上述各项违约责任条款，属于《民法典》中的清算条款，故合同之</w:t>
      </w:r>
      <w:r>
        <w:rPr>
          <w:rFonts w:hint="eastAsia" w:ascii="宋体" w:hAnsi="宋体" w:eastAsia="宋体"/>
          <w:snapToGrid w:val="0"/>
          <w:sz w:val="24"/>
          <w:szCs w:val="24"/>
        </w:rPr>
        <w:t>变更、中止或</w:t>
      </w:r>
      <w:r>
        <w:rPr>
          <w:rFonts w:hint="eastAsia" w:ascii="宋体" w:hAnsi="宋体" w:eastAsia="宋体"/>
          <w:sz w:val="24"/>
          <w:szCs w:val="24"/>
        </w:rPr>
        <w:t>解除不影响据此追究违约方的违约责任。</w:t>
      </w:r>
    </w:p>
    <w:p>
      <w:pPr>
        <w:pStyle w:val="95"/>
        <w:adjustRightInd w:val="0"/>
        <w:snapToGrid w:val="0"/>
        <w:spacing w:before="156" w:beforeLines="50" w:line="360" w:lineRule="auto"/>
        <w:ind w:firstLine="482" w:firstLineChars="200"/>
        <w:rPr>
          <w:rFonts w:ascii="宋体"/>
          <w:b/>
          <w:bCs/>
          <w:sz w:val="24"/>
        </w:rPr>
      </w:pPr>
      <w:r>
        <w:rPr>
          <w:rFonts w:hint="eastAsia" w:ascii="宋体" w:hAnsi="宋体"/>
          <w:b/>
          <w:sz w:val="24"/>
        </w:rPr>
        <w:t>第十五条联合投标与</w:t>
      </w:r>
      <w:r>
        <w:rPr>
          <w:rFonts w:hint="eastAsia" w:ascii="宋体" w:hAnsi="宋体"/>
          <w:b/>
          <w:bCs/>
          <w:sz w:val="24"/>
        </w:rPr>
        <w:t>连带责任</w:t>
      </w:r>
    </w:p>
    <w:p>
      <w:pPr>
        <w:pStyle w:val="95"/>
        <w:adjustRightInd w:val="0"/>
        <w:snapToGrid w:val="0"/>
        <w:spacing w:line="360" w:lineRule="auto"/>
        <w:ind w:firstLine="480" w:firstLineChars="200"/>
        <w:rPr>
          <w:rFonts w:ascii="宋体"/>
          <w:bCs/>
          <w:sz w:val="24"/>
        </w:rPr>
      </w:pPr>
      <w:r>
        <w:rPr>
          <w:rFonts w:ascii="宋体" w:hAnsi="宋体"/>
          <w:bCs/>
          <w:sz w:val="24"/>
        </w:rPr>
        <w:t>1</w:t>
      </w:r>
      <w:r>
        <w:rPr>
          <w:rFonts w:hint="eastAsia" w:ascii="宋体" w:hAnsi="宋体"/>
          <w:bCs/>
          <w:sz w:val="24"/>
        </w:rPr>
        <w:t>、乙方如果与他人对本采购项目联合投标中标，则乙方可以代表联合体签订并全面履行本合同。</w:t>
      </w:r>
    </w:p>
    <w:p>
      <w:pPr>
        <w:pStyle w:val="95"/>
        <w:adjustRightInd w:val="0"/>
        <w:snapToGrid w:val="0"/>
        <w:spacing w:line="360" w:lineRule="auto"/>
        <w:ind w:firstLine="480" w:firstLineChars="200"/>
        <w:rPr>
          <w:rFonts w:ascii="宋体"/>
          <w:bCs/>
          <w:sz w:val="24"/>
        </w:rPr>
      </w:pPr>
      <w:r>
        <w:rPr>
          <w:rFonts w:ascii="宋体" w:hAnsi="宋体"/>
          <w:bCs/>
          <w:sz w:val="24"/>
        </w:rPr>
        <w:t>2</w:t>
      </w:r>
      <w:r>
        <w:rPr>
          <w:rFonts w:hint="eastAsia" w:ascii="宋体" w:hAnsi="宋体"/>
          <w:bCs/>
          <w:sz w:val="24"/>
        </w:rPr>
        <w:t>、联合体</w:t>
      </w:r>
      <w:r>
        <w:rPr>
          <w:rFonts w:hint="eastAsia" w:ascii="宋体" w:hAnsi="宋体"/>
          <w:b/>
          <w:bCs/>
          <w:sz w:val="24"/>
          <w:u w:val="single"/>
        </w:rPr>
        <w:t>其他成员必须向甲方出具相应的《授权委托书》</w:t>
      </w:r>
      <w:r>
        <w:rPr>
          <w:rFonts w:hint="eastAsia" w:ascii="宋体" w:hAnsi="宋体"/>
          <w:bCs/>
          <w:sz w:val="24"/>
        </w:rPr>
        <w:t>。</w:t>
      </w:r>
    </w:p>
    <w:p>
      <w:pPr>
        <w:pStyle w:val="95"/>
        <w:adjustRightInd w:val="0"/>
        <w:snapToGrid w:val="0"/>
        <w:spacing w:line="360" w:lineRule="auto"/>
        <w:ind w:firstLine="480" w:firstLineChars="200"/>
        <w:rPr>
          <w:rFonts w:ascii="宋体"/>
          <w:bCs/>
          <w:sz w:val="24"/>
        </w:rPr>
      </w:pPr>
      <w:r>
        <w:rPr>
          <w:rFonts w:ascii="宋体" w:hAnsi="宋体"/>
          <w:bCs/>
          <w:sz w:val="24"/>
        </w:rPr>
        <w:t>3</w:t>
      </w:r>
      <w:r>
        <w:rPr>
          <w:rFonts w:hint="eastAsia" w:ascii="宋体" w:hAnsi="宋体"/>
          <w:bCs/>
          <w:sz w:val="24"/>
        </w:rPr>
        <w:t>、根据《中华人民共和国政府采购法》，联合体全部成员共同就本合同向甲方承担连带责任。</w:t>
      </w:r>
    </w:p>
    <w:p>
      <w:pPr>
        <w:pStyle w:val="95"/>
        <w:adjustRightInd w:val="0"/>
        <w:snapToGrid w:val="0"/>
        <w:spacing w:line="360" w:lineRule="auto"/>
        <w:ind w:firstLine="480" w:firstLineChars="200"/>
        <w:rPr>
          <w:rFonts w:ascii="宋体"/>
          <w:sz w:val="24"/>
        </w:rPr>
      </w:pPr>
      <w:r>
        <w:rPr>
          <w:rFonts w:ascii="宋体" w:hAnsi="宋体"/>
          <w:bCs/>
          <w:sz w:val="24"/>
        </w:rPr>
        <w:t>4</w:t>
      </w:r>
      <w:r>
        <w:rPr>
          <w:rFonts w:hint="eastAsia" w:ascii="宋体" w:hAnsi="宋体"/>
          <w:bCs/>
          <w:sz w:val="24"/>
        </w:rPr>
        <w:t>、上述</w:t>
      </w:r>
      <w:r>
        <w:rPr>
          <w:rFonts w:hint="eastAsia" w:ascii="宋体" w:hAnsi="宋体"/>
          <w:sz w:val="24"/>
        </w:rPr>
        <w:t>连带责任是不享有先诉抗辩权的连带责任，且责任范围包括违约责任和赔偿责任及其相关的利息、实现债权的全部费用（包括但不限于诉讼或仲裁费用、律师费、调查取证费用）、因乙方过错所致财产性行政处罚，以及合同变更、解除、终止而产生的法律后果。</w:t>
      </w:r>
    </w:p>
    <w:p>
      <w:pPr>
        <w:pStyle w:val="95"/>
        <w:adjustRightInd w:val="0"/>
        <w:snapToGrid w:val="0"/>
        <w:spacing w:before="156" w:beforeLines="50" w:line="360" w:lineRule="auto"/>
        <w:ind w:firstLine="482" w:firstLineChars="200"/>
        <w:rPr>
          <w:rFonts w:ascii="宋体"/>
          <w:b/>
          <w:bCs/>
          <w:sz w:val="24"/>
        </w:rPr>
      </w:pPr>
      <w:r>
        <w:rPr>
          <w:rFonts w:hint="eastAsia" w:ascii="宋体" w:hAnsi="宋体"/>
          <w:b/>
          <w:bCs/>
          <w:sz w:val="24"/>
        </w:rPr>
        <w:t>第十六条　合同解释</w:t>
      </w:r>
    </w:p>
    <w:p>
      <w:pPr>
        <w:pStyle w:val="95"/>
        <w:adjustRightInd w:val="0"/>
        <w:snapToGrid w:val="0"/>
        <w:spacing w:line="360" w:lineRule="auto"/>
        <w:ind w:firstLine="480" w:firstLineChars="200"/>
        <w:rPr>
          <w:rFonts w:ascii="宋体"/>
          <w:b/>
          <w:bCs/>
          <w:sz w:val="24"/>
        </w:rPr>
      </w:pPr>
      <w:r>
        <w:rPr>
          <w:rFonts w:hint="eastAsia" w:ascii="宋体" w:hAnsi="宋体"/>
          <w:bCs/>
          <w:sz w:val="24"/>
        </w:rPr>
        <w:t>对本合同的解释，除了适用《民法典》规定的文义解释、目的解释、历史（</w:t>
      </w:r>
      <w:r>
        <w:rPr>
          <w:rFonts w:hint="eastAsia" w:ascii="宋体" w:hAnsi="宋体" w:cs="宋体"/>
          <w:kern w:val="0"/>
          <w:sz w:val="24"/>
        </w:rPr>
        <w:t>订约过程）解释、体系解释、善意解释等</w:t>
      </w:r>
      <w:r>
        <w:rPr>
          <w:rFonts w:hint="eastAsia" w:ascii="宋体" w:hAnsi="宋体"/>
          <w:bCs/>
          <w:sz w:val="24"/>
        </w:rPr>
        <w:t>规则外，如果对本合同的内容存在两种或两种以上的合理解释，则按最有利于甲方的原则进行解释并据此执行</w:t>
      </w:r>
      <w:r>
        <w:rPr>
          <w:rFonts w:hint="eastAsia" w:ascii="宋体" w:hAnsi="宋体" w:cs="宋体"/>
          <w:kern w:val="0"/>
          <w:sz w:val="24"/>
        </w:rPr>
        <w:t>。</w:t>
      </w:r>
    </w:p>
    <w:p>
      <w:pPr>
        <w:pStyle w:val="95"/>
        <w:adjustRightInd w:val="0"/>
        <w:snapToGrid w:val="0"/>
        <w:spacing w:before="156" w:beforeLines="50" w:line="360" w:lineRule="auto"/>
        <w:ind w:firstLine="482" w:firstLineChars="200"/>
        <w:rPr>
          <w:rFonts w:ascii="宋体"/>
          <w:b/>
          <w:bCs/>
          <w:sz w:val="24"/>
        </w:rPr>
      </w:pPr>
      <w:r>
        <w:rPr>
          <w:rFonts w:hint="eastAsia" w:ascii="宋体" w:hAnsi="宋体"/>
          <w:b/>
          <w:bCs/>
          <w:sz w:val="24"/>
        </w:rPr>
        <w:t>第十七条　法律适用</w:t>
      </w:r>
    </w:p>
    <w:p>
      <w:pPr>
        <w:pStyle w:val="95"/>
        <w:adjustRightInd w:val="0"/>
        <w:snapToGrid w:val="0"/>
        <w:spacing w:line="360" w:lineRule="auto"/>
        <w:ind w:firstLine="480" w:firstLineChars="200"/>
        <w:rPr>
          <w:rFonts w:ascii="宋体"/>
          <w:snapToGrid w:val="0"/>
          <w:sz w:val="24"/>
        </w:rPr>
      </w:pPr>
      <w:r>
        <w:rPr>
          <w:rFonts w:hint="eastAsia" w:ascii="宋体" w:hAnsi="宋体"/>
          <w:snapToGrid w:val="0"/>
          <w:sz w:val="24"/>
        </w:rPr>
        <w:t>因本合同之成立与效力、履行、解释、票据等而发生的所有争议，均适用中华人民共和国法律。</w:t>
      </w:r>
    </w:p>
    <w:p>
      <w:pPr>
        <w:pStyle w:val="95"/>
        <w:adjustRightInd w:val="0"/>
        <w:snapToGrid w:val="0"/>
        <w:spacing w:before="156" w:beforeLines="50" w:line="360" w:lineRule="auto"/>
        <w:ind w:firstLine="472" w:firstLineChars="196"/>
        <w:jc w:val="left"/>
        <w:rPr>
          <w:rFonts w:ascii="宋体"/>
          <w:b/>
          <w:sz w:val="24"/>
        </w:rPr>
      </w:pPr>
      <w:r>
        <w:rPr>
          <w:rFonts w:hint="eastAsia" w:ascii="宋体" w:hAnsi="宋体" w:cs="宋体"/>
          <w:b/>
          <w:kern w:val="0"/>
          <w:sz w:val="24"/>
        </w:rPr>
        <w:t>第十八条　</w:t>
      </w:r>
      <w:r>
        <w:rPr>
          <w:rFonts w:hint="eastAsia" w:ascii="宋体" w:hAnsi="宋体"/>
          <w:b/>
          <w:sz w:val="24"/>
        </w:rPr>
        <w:t>补充协议</w:t>
      </w:r>
    </w:p>
    <w:p>
      <w:pPr>
        <w:pStyle w:val="95"/>
        <w:adjustRightInd w:val="0"/>
        <w:snapToGrid w:val="0"/>
        <w:spacing w:line="360" w:lineRule="auto"/>
        <w:ind w:firstLine="470" w:firstLineChars="196"/>
        <w:rPr>
          <w:rFonts w:ascii="宋体" w:cs="宋体"/>
          <w:sz w:val="24"/>
        </w:rPr>
      </w:pPr>
      <w:r>
        <w:rPr>
          <w:rFonts w:ascii="宋体" w:hAnsi="宋体" w:cs="宋体"/>
          <w:kern w:val="0"/>
          <w:sz w:val="24"/>
        </w:rPr>
        <w:t>1</w:t>
      </w:r>
      <w:r>
        <w:rPr>
          <w:rFonts w:hint="eastAsia" w:ascii="宋体" w:hAnsi="宋体" w:cs="宋体"/>
          <w:kern w:val="0"/>
          <w:sz w:val="24"/>
        </w:rPr>
        <w:t>、</w:t>
      </w:r>
      <w:r>
        <w:rPr>
          <w:rFonts w:hint="eastAsia" w:ascii="宋体" w:hAnsi="宋体"/>
          <w:sz w:val="24"/>
        </w:rPr>
        <w:t>本合同未尽事宜，由双方在协商一致的基础上另行签订书面形式的补充协议</w:t>
      </w:r>
      <w:r>
        <w:rPr>
          <w:rFonts w:hint="eastAsia" w:ascii="宋体" w:hAnsi="宋体" w:cs="宋体"/>
          <w:kern w:val="0"/>
          <w:sz w:val="24"/>
        </w:rPr>
        <w:t>确定</w:t>
      </w:r>
      <w:r>
        <w:rPr>
          <w:rFonts w:hint="eastAsia" w:ascii="宋体" w:hAnsi="宋体"/>
          <w:sz w:val="24"/>
        </w:rPr>
        <w:t>。补充协议</w:t>
      </w:r>
      <w:r>
        <w:rPr>
          <w:rFonts w:hint="eastAsia" w:ascii="宋体" w:hAnsi="宋体" w:cs="宋体"/>
          <w:sz w:val="24"/>
        </w:rPr>
        <w:t>与本合同有关条款的内容相冲突者，视为对该条款内容的实质性变更。</w:t>
      </w:r>
    </w:p>
    <w:p>
      <w:pPr>
        <w:pStyle w:val="95"/>
        <w:adjustRightInd w:val="0"/>
        <w:snapToGrid w:val="0"/>
        <w:spacing w:before="156" w:beforeLines="50" w:line="360" w:lineRule="auto"/>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、补充协议包括承诺书、会议纪要、备忘录、往来函件等，但</w:t>
      </w:r>
      <w:r>
        <w:rPr>
          <w:rFonts w:hint="eastAsia" w:ascii="宋体" w:hAnsi="宋体"/>
          <w:snapToGrid w:val="0"/>
          <w:sz w:val="24"/>
        </w:rPr>
        <w:t>均应以书面形式为之</w:t>
      </w:r>
      <w:r>
        <w:rPr>
          <w:rFonts w:hint="eastAsia" w:ascii="宋体" w:hAnsi="宋体" w:cs="宋体"/>
          <w:kern w:val="0"/>
          <w:sz w:val="24"/>
        </w:rPr>
        <w:t>。</w:t>
      </w:r>
    </w:p>
    <w:p>
      <w:pPr>
        <w:pStyle w:val="95"/>
        <w:adjustRightInd w:val="0"/>
        <w:snapToGrid w:val="0"/>
        <w:spacing w:before="156" w:beforeLines="50" w:line="360" w:lineRule="auto"/>
        <w:ind w:firstLine="482" w:firstLineChars="200"/>
        <w:rPr>
          <w:rFonts w:ascii="宋体"/>
          <w:b/>
          <w:bCs/>
          <w:sz w:val="24"/>
        </w:rPr>
      </w:pPr>
      <w:r>
        <w:rPr>
          <w:rFonts w:hint="eastAsia" w:ascii="宋体" w:hAnsi="宋体"/>
          <w:b/>
          <w:bCs/>
          <w:sz w:val="24"/>
        </w:rPr>
        <w:t>第十九条　争议解决方式</w:t>
      </w:r>
    </w:p>
    <w:p>
      <w:pPr>
        <w:pStyle w:val="95"/>
        <w:adjustRightInd w:val="0"/>
        <w:snapToGrid w:val="0"/>
        <w:spacing w:line="360" w:lineRule="auto"/>
        <w:ind w:firstLine="480" w:firstLineChars="200"/>
        <w:rPr>
          <w:rFonts w:ascii="宋体"/>
          <w:b/>
          <w:bCs/>
          <w:sz w:val="24"/>
        </w:rPr>
      </w:pPr>
      <w:r>
        <w:rPr>
          <w:rFonts w:hint="eastAsia" w:ascii="宋体" w:hAnsi="宋体"/>
          <w:snapToGrid w:val="0"/>
          <w:sz w:val="24"/>
        </w:rPr>
        <w:t>因本合同而发生的所有争议，应由各方协商解决；协商不成时，本合同的双方或三方均同意将争议</w:t>
      </w:r>
      <w:r>
        <w:rPr>
          <w:rFonts w:ascii="宋体" w:hAnsi="宋体"/>
          <w:snapToGrid w:val="0"/>
          <w:sz w:val="24"/>
        </w:rPr>
        <w:t>(</w:t>
      </w:r>
      <w:r>
        <w:rPr>
          <w:rFonts w:hint="eastAsia" w:ascii="宋体" w:hAnsi="宋体"/>
          <w:snapToGrid w:val="0"/>
          <w:sz w:val="24"/>
        </w:rPr>
        <w:t>包括票据法上的争议</w:t>
      </w:r>
      <w:r>
        <w:rPr>
          <w:rFonts w:ascii="宋体" w:hAnsi="宋体"/>
          <w:snapToGrid w:val="0"/>
          <w:sz w:val="24"/>
        </w:rPr>
        <w:t>)</w:t>
      </w:r>
      <w:r>
        <w:rPr>
          <w:rFonts w:hint="eastAsia" w:ascii="宋体" w:hAnsi="宋体"/>
          <w:snapToGrid w:val="0"/>
          <w:sz w:val="24"/>
        </w:rPr>
        <w:t>提交给承德市仲裁委员会进行仲裁解决。仲裁程序，适用该会的仲裁规则。</w:t>
      </w:r>
      <w:r>
        <w:rPr>
          <w:rFonts w:hint="eastAsia" w:ascii="宋体" w:hAnsi="宋体"/>
          <w:sz w:val="24"/>
        </w:rPr>
        <w:t>该仲裁裁决是终局的，对当事人均有约束力。</w:t>
      </w:r>
    </w:p>
    <w:p>
      <w:pPr>
        <w:pStyle w:val="95"/>
        <w:widowControl/>
        <w:shd w:val="clear" w:color="auto" w:fill="FFFFFF"/>
        <w:adjustRightInd w:val="0"/>
        <w:snapToGrid w:val="0"/>
        <w:spacing w:line="360" w:lineRule="auto"/>
        <w:ind w:firstLine="458" w:firstLineChars="190"/>
        <w:jc w:val="left"/>
        <w:rPr>
          <w:rFonts w:ascii="宋体" w:cs="宋体"/>
          <w:b/>
          <w:kern w:val="0"/>
          <w:sz w:val="24"/>
        </w:rPr>
      </w:pPr>
      <w:r>
        <w:rPr>
          <w:rFonts w:hint="eastAsia" w:ascii="宋体" w:hAnsi="宋体"/>
          <w:b/>
          <w:sz w:val="24"/>
        </w:rPr>
        <w:t>第十二条　</w:t>
      </w:r>
      <w:r>
        <w:rPr>
          <w:rFonts w:hint="eastAsia" w:ascii="宋体" w:hAnsi="宋体" w:cs="宋体"/>
          <w:b/>
          <w:kern w:val="0"/>
          <w:sz w:val="24"/>
        </w:rPr>
        <w:t>通知</w:t>
      </w:r>
    </w:p>
    <w:p>
      <w:pPr>
        <w:pStyle w:val="95"/>
        <w:widowControl/>
        <w:shd w:val="clear" w:color="auto" w:fill="FFFFFF"/>
        <w:adjustRightInd w:val="0"/>
        <w:snapToGrid w:val="0"/>
        <w:spacing w:line="360" w:lineRule="auto"/>
        <w:ind w:firstLine="456" w:firstLineChars="190"/>
        <w:jc w:val="left"/>
        <w:rPr>
          <w:rFonts w:ascii="宋体"/>
          <w:sz w:val="24"/>
        </w:rPr>
      </w:pPr>
      <w:r>
        <w:rPr>
          <w:rFonts w:ascii="宋体" w:hAnsi="宋体" w:cs="宋体"/>
          <w:kern w:val="0"/>
          <w:sz w:val="24"/>
        </w:rPr>
        <w:t>1</w:t>
      </w:r>
      <w:r>
        <w:rPr>
          <w:rFonts w:hint="eastAsia" w:ascii="宋体" w:hAnsi="宋体" w:cs="宋体"/>
          <w:kern w:val="0"/>
          <w:sz w:val="24"/>
        </w:rPr>
        <w:t>、</w:t>
      </w:r>
      <w:r>
        <w:rPr>
          <w:rFonts w:hint="eastAsia" w:ascii="宋体" w:hAnsi="宋体"/>
          <w:snapToGrid w:val="0"/>
          <w:sz w:val="24"/>
        </w:rPr>
        <w:t>遇有合同争议或异议情形，均应以书面形式及时通知对方。</w:t>
      </w:r>
      <w:r>
        <w:rPr>
          <w:rFonts w:hint="eastAsia" w:ascii="宋体" w:hAnsi="宋体" w:cs="宋体"/>
          <w:kern w:val="0"/>
          <w:sz w:val="24"/>
        </w:rPr>
        <w:t>一方向另一方发出的通知</w:t>
      </w:r>
      <w:r>
        <w:rPr>
          <w:rFonts w:hint="eastAsia" w:ascii="宋体" w:hAnsi="宋体"/>
          <w:sz w:val="24"/>
        </w:rPr>
        <w:t>和通讯，</w:t>
      </w:r>
      <w:r>
        <w:rPr>
          <w:rFonts w:hint="eastAsia" w:ascii="宋体" w:hAnsi="宋体" w:cs="宋体"/>
          <w:kern w:val="0"/>
          <w:sz w:val="24"/>
        </w:rPr>
        <w:t>应当用书面形式</w:t>
      </w:r>
      <w:r>
        <w:rPr>
          <w:rFonts w:hint="eastAsia" w:ascii="宋体" w:hAnsi="宋体"/>
          <w:sz w:val="24"/>
        </w:rPr>
        <w:t>，且均自其送</w:t>
      </w:r>
      <w:r>
        <w:rPr>
          <w:rFonts w:hint="eastAsia" w:ascii="宋体" w:hAnsi="宋体" w:cs="宋体"/>
          <w:sz w:val="24"/>
        </w:rPr>
        <w:t>达</w:t>
      </w:r>
      <w:r>
        <w:rPr>
          <w:rFonts w:hint="eastAsia" w:ascii="宋体" w:hAnsi="宋体"/>
          <w:sz w:val="24"/>
        </w:rPr>
        <w:t>时生效。</w:t>
      </w:r>
    </w:p>
    <w:p>
      <w:pPr>
        <w:pStyle w:val="95"/>
        <w:widowControl/>
        <w:shd w:val="clear" w:color="auto" w:fill="FFFFFF"/>
        <w:adjustRightInd w:val="0"/>
        <w:snapToGrid w:val="0"/>
        <w:spacing w:line="360" w:lineRule="auto"/>
        <w:ind w:firstLine="456" w:firstLineChars="190"/>
        <w:jc w:val="left"/>
        <w:rPr>
          <w:rFonts w:ascii="宋体" w:cs="宋体"/>
          <w:kern w:val="0"/>
          <w:sz w:val="24"/>
        </w:rPr>
      </w:pPr>
      <w:r>
        <w:rPr>
          <w:rFonts w:ascii="宋体" w:hAnsi="宋体"/>
          <w:sz w:val="24"/>
        </w:rPr>
        <w:t>2</w:t>
      </w:r>
      <w:r>
        <w:rPr>
          <w:rFonts w:hint="eastAsia" w:ascii="宋体" w:hAnsi="宋体"/>
          <w:sz w:val="24"/>
        </w:rPr>
        <w:t>、</w:t>
      </w:r>
      <w:r>
        <w:rPr>
          <w:rFonts w:hint="eastAsia" w:ascii="宋体" w:hAnsi="宋体" w:cs="宋体"/>
          <w:kern w:val="0"/>
          <w:sz w:val="24"/>
        </w:rPr>
        <w:t>无论双方关系好坏程度如何，任何一方均不得拒绝签</w:t>
      </w:r>
      <w:r>
        <w:rPr>
          <w:rFonts w:hint="eastAsia" w:ascii="宋体" w:hAnsi="宋体"/>
          <w:snapToGrid w:val="0"/>
          <w:sz w:val="24"/>
        </w:rPr>
        <w:t>收来自对方的说明函、澄清函、通知书、异议书、催告函、法律意见书等</w:t>
      </w:r>
      <w:r>
        <w:rPr>
          <w:rFonts w:hint="eastAsia" w:ascii="宋体" w:hAnsi="宋体" w:cs="宋体"/>
          <w:kern w:val="0"/>
          <w:sz w:val="24"/>
        </w:rPr>
        <w:t>往来文件。</w:t>
      </w:r>
    </w:p>
    <w:p>
      <w:pPr>
        <w:pStyle w:val="95"/>
        <w:widowControl/>
        <w:shd w:val="clear" w:color="auto" w:fill="FFFFFF"/>
        <w:adjustRightInd w:val="0"/>
        <w:snapToGrid w:val="0"/>
        <w:spacing w:line="360" w:lineRule="auto"/>
        <w:ind w:firstLine="456" w:firstLineChars="190"/>
        <w:jc w:val="left"/>
        <w:rPr>
          <w:rFonts w:ascii="宋体"/>
          <w:sz w:val="24"/>
        </w:rPr>
      </w:pPr>
      <w:r>
        <w:rPr>
          <w:rFonts w:ascii="宋体" w:hAnsi="宋体" w:cs="宋体"/>
          <w:kern w:val="0"/>
          <w:sz w:val="24"/>
        </w:rPr>
        <w:t>3</w:t>
      </w:r>
      <w:r>
        <w:rPr>
          <w:rFonts w:hint="eastAsia" w:ascii="宋体" w:hAnsi="宋体" w:cs="宋体"/>
          <w:kern w:val="0"/>
          <w:sz w:val="24"/>
        </w:rPr>
        <w:t>、一方</w:t>
      </w:r>
      <w:r>
        <w:rPr>
          <w:rFonts w:hint="eastAsia" w:ascii="宋体" w:hAnsi="宋体"/>
          <w:sz w:val="24"/>
        </w:rPr>
        <w:t>当事人变更</w:t>
      </w:r>
      <w:r>
        <w:rPr>
          <w:rFonts w:hint="eastAsia" w:ascii="宋体" w:hAnsi="宋体" w:cs="宋体"/>
          <w:kern w:val="0"/>
          <w:sz w:val="24"/>
        </w:rPr>
        <w:t>本合同中列明的</w:t>
      </w:r>
      <w:r>
        <w:rPr>
          <w:rFonts w:hint="eastAsia" w:ascii="宋体" w:hAnsi="宋体"/>
          <w:sz w:val="24"/>
        </w:rPr>
        <w:t>通知或通讯地址、法定代表人或开户银行或帐号的，</w:t>
      </w:r>
      <w:r>
        <w:rPr>
          <w:rFonts w:hint="eastAsia" w:ascii="宋体" w:hAnsi="宋体" w:cs="宋体"/>
          <w:kern w:val="0"/>
          <w:sz w:val="24"/>
        </w:rPr>
        <w:t>应自其变更之日起</w:t>
      </w:r>
      <w:r>
        <w:rPr>
          <w:rFonts w:hint="eastAsia" w:ascii="宋体" w:hAnsi="宋体" w:cs="宋体"/>
          <w:kern w:val="0"/>
          <w:sz w:val="24"/>
          <w:u w:val="single"/>
        </w:rPr>
        <w:t>　</w:t>
      </w:r>
      <w:r>
        <w:rPr>
          <w:rFonts w:ascii="宋体" w:hAnsi="宋体"/>
          <w:sz w:val="24"/>
          <w:u w:val="single"/>
        </w:rPr>
        <w:t>10</w:t>
      </w:r>
      <w:r>
        <w:rPr>
          <w:rFonts w:hint="eastAsia" w:ascii="宋体" w:hAnsi="宋体" w:cs="宋体"/>
          <w:kern w:val="0"/>
          <w:sz w:val="24"/>
          <w:u w:val="single"/>
        </w:rPr>
        <w:t>　</w:t>
      </w:r>
      <w:r>
        <w:rPr>
          <w:rFonts w:hint="eastAsia" w:ascii="宋体" w:hAnsi="宋体" w:cs="宋体"/>
          <w:kern w:val="0"/>
          <w:sz w:val="24"/>
        </w:rPr>
        <w:t>日内</w:t>
      </w:r>
      <w:r>
        <w:rPr>
          <w:rFonts w:hint="eastAsia" w:ascii="宋体" w:hAnsi="宋体"/>
          <w:sz w:val="24"/>
        </w:rPr>
        <w:t>，将新的地址或法定代表人或开户银行、帐号</w:t>
      </w:r>
      <w:r>
        <w:rPr>
          <w:rFonts w:hint="eastAsia" w:ascii="宋体" w:hAnsi="宋体" w:cs="宋体"/>
          <w:kern w:val="0"/>
          <w:sz w:val="24"/>
        </w:rPr>
        <w:t>以书面形式</w:t>
      </w:r>
      <w:r>
        <w:rPr>
          <w:rFonts w:hint="eastAsia" w:ascii="宋体" w:hAnsi="宋体"/>
          <w:sz w:val="24"/>
        </w:rPr>
        <w:t>通知另一方。因</w:t>
      </w:r>
      <w:r>
        <w:rPr>
          <w:rFonts w:hint="eastAsia" w:ascii="宋体" w:hAnsi="宋体" w:cs="宋体"/>
          <w:kern w:val="0"/>
          <w:sz w:val="24"/>
        </w:rPr>
        <w:t>未通知或</w:t>
      </w:r>
      <w:r>
        <w:rPr>
          <w:rFonts w:hint="eastAsia" w:ascii="宋体" w:hAnsi="宋体"/>
          <w:sz w:val="24"/>
        </w:rPr>
        <w:t>迟延通知</w:t>
      </w:r>
      <w:r>
        <w:rPr>
          <w:rFonts w:hint="eastAsia" w:ascii="宋体" w:hAnsi="宋体" w:cs="宋体"/>
          <w:kern w:val="0"/>
          <w:sz w:val="24"/>
        </w:rPr>
        <w:t>对方</w:t>
      </w:r>
      <w:r>
        <w:rPr>
          <w:rFonts w:hint="eastAsia" w:ascii="宋体" w:hAnsi="宋体"/>
          <w:sz w:val="24"/>
        </w:rPr>
        <w:t>而</w:t>
      </w:r>
      <w:r>
        <w:rPr>
          <w:rFonts w:hint="eastAsia" w:ascii="宋体" w:hAnsi="宋体" w:cs="宋体"/>
          <w:kern w:val="0"/>
          <w:sz w:val="24"/>
        </w:rPr>
        <w:t>由此</w:t>
      </w:r>
      <w:r>
        <w:rPr>
          <w:rFonts w:hint="eastAsia" w:ascii="宋体" w:hAnsi="宋体"/>
          <w:sz w:val="24"/>
        </w:rPr>
        <w:t>造成的损失，</w:t>
      </w:r>
      <w:r>
        <w:rPr>
          <w:rFonts w:hint="eastAsia" w:ascii="宋体" w:hAnsi="宋体" w:cs="宋体"/>
          <w:sz w:val="24"/>
        </w:rPr>
        <w:t>应</w:t>
      </w:r>
      <w:r>
        <w:rPr>
          <w:rFonts w:hint="eastAsia" w:ascii="宋体" w:hAnsi="宋体"/>
          <w:sz w:val="24"/>
        </w:rPr>
        <w:t>承担</w:t>
      </w:r>
      <w:r>
        <w:rPr>
          <w:rFonts w:hint="eastAsia" w:ascii="宋体" w:hAnsi="宋体" w:cs="宋体"/>
          <w:kern w:val="0"/>
          <w:sz w:val="24"/>
        </w:rPr>
        <w:t>相关</w:t>
      </w:r>
      <w:r>
        <w:rPr>
          <w:rFonts w:hint="eastAsia" w:ascii="宋体" w:hAnsi="宋体"/>
          <w:sz w:val="24"/>
        </w:rPr>
        <w:t>责任。</w:t>
      </w:r>
    </w:p>
    <w:p>
      <w:pPr>
        <w:pStyle w:val="95"/>
        <w:adjustRightInd w:val="0"/>
        <w:snapToGrid w:val="0"/>
        <w:spacing w:before="156" w:beforeLines="50" w:line="360" w:lineRule="auto"/>
        <w:ind w:firstLine="482" w:firstLineChars="200"/>
        <w:jc w:val="left"/>
        <w:rPr>
          <w:rFonts w:ascii="宋体" w:cs="宋体"/>
          <w:b/>
          <w:kern w:val="0"/>
          <w:sz w:val="24"/>
        </w:rPr>
      </w:pPr>
      <w:r>
        <w:rPr>
          <w:rFonts w:hint="eastAsia" w:ascii="宋体" w:hAnsi="宋体" w:cs="宋体"/>
          <w:b/>
          <w:kern w:val="0"/>
          <w:sz w:val="24"/>
        </w:rPr>
        <w:t>第二十一条　合同生效与效力</w:t>
      </w:r>
    </w:p>
    <w:p>
      <w:pPr>
        <w:pStyle w:val="95"/>
        <w:adjustRightInd w:val="0"/>
        <w:snapToGrid w:val="0"/>
        <w:spacing w:line="360" w:lineRule="auto"/>
        <w:ind w:firstLine="480" w:firstLineChars="200"/>
        <w:rPr>
          <w:rFonts w:ascii="宋体" w:cs="宋体"/>
          <w:kern w:val="0"/>
          <w:sz w:val="24"/>
        </w:rPr>
      </w:pPr>
      <w:r>
        <w:rPr>
          <w:rFonts w:ascii="宋体" w:hAnsi="宋体" w:cs="宋体"/>
          <w:kern w:val="0"/>
          <w:sz w:val="24"/>
        </w:rPr>
        <w:t>1</w:t>
      </w:r>
      <w:r>
        <w:rPr>
          <w:rFonts w:hint="eastAsia" w:ascii="宋体" w:hAnsi="宋体" w:cs="宋体"/>
          <w:kern w:val="0"/>
          <w:sz w:val="24"/>
        </w:rPr>
        <w:t>、本合同经双方代表签字后即行生效。签字日期互异的，以后签日期为生效日。</w:t>
      </w:r>
    </w:p>
    <w:p>
      <w:pPr>
        <w:pStyle w:val="95"/>
        <w:widowControl/>
        <w:shd w:val="clear" w:color="auto" w:fill="FFFFFF"/>
        <w:adjustRightInd w:val="0"/>
        <w:snapToGrid w:val="0"/>
        <w:spacing w:before="156" w:beforeLines="50" w:line="360" w:lineRule="auto"/>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、乙方作为联合体之代表人，一旦签字，本合同的效力即及于联合体内的全部成员。</w:t>
      </w:r>
    </w:p>
    <w:p>
      <w:pPr>
        <w:pStyle w:val="95"/>
        <w:widowControl/>
        <w:shd w:val="clear" w:color="auto" w:fill="FFFFFF"/>
        <w:adjustRightInd w:val="0"/>
        <w:snapToGrid w:val="0"/>
        <w:spacing w:before="156" w:beforeLines="50" w:line="360" w:lineRule="auto"/>
        <w:ind w:firstLine="482" w:firstLineChars="200"/>
        <w:jc w:val="left"/>
        <w:rPr>
          <w:rFonts w:ascii="宋体" w:cs="宋体"/>
          <w:b/>
          <w:kern w:val="0"/>
          <w:sz w:val="24"/>
        </w:rPr>
      </w:pPr>
      <w:r>
        <w:rPr>
          <w:rFonts w:hint="eastAsia" w:ascii="宋体" w:hAnsi="宋体"/>
          <w:b/>
          <w:bCs/>
          <w:sz w:val="24"/>
        </w:rPr>
        <w:t>第二十二条</w:t>
      </w:r>
      <w:r>
        <w:rPr>
          <w:rFonts w:hint="eastAsia" w:ascii="宋体" w:hAnsi="宋体" w:cs="宋体"/>
          <w:b/>
          <w:kern w:val="0"/>
          <w:sz w:val="24"/>
        </w:rPr>
        <w:t>合同文本</w:t>
      </w:r>
    </w:p>
    <w:p>
      <w:pPr>
        <w:pStyle w:val="95"/>
        <w:adjustRightInd w:val="0"/>
        <w:snapToGrid w:val="0"/>
        <w:spacing w:line="360" w:lineRule="auto"/>
        <w:ind w:firstLine="470" w:firstLineChars="196"/>
        <w:jc w:val="left"/>
        <w:rPr>
          <w:rFonts w:ascii="宋体"/>
          <w:sz w:val="24"/>
        </w:rPr>
      </w:pPr>
      <w:r>
        <w:rPr>
          <w:rFonts w:ascii="宋体" w:hAnsi="宋体"/>
          <w:sz w:val="24"/>
        </w:rPr>
        <w:t>1</w:t>
      </w:r>
      <w:r>
        <w:rPr>
          <w:rFonts w:hint="eastAsia" w:ascii="宋体" w:hAnsi="宋体"/>
          <w:sz w:val="24"/>
        </w:rPr>
        <w:t>、本合同一式</w:t>
      </w:r>
      <w:r>
        <w:rPr>
          <w:rFonts w:hint="eastAsia" w:ascii="宋体" w:hAnsi="宋体"/>
          <w:sz w:val="24"/>
          <w:u w:val="single"/>
        </w:rPr>
        <w:t>　　</w:t>
      </w:r>
      <w:r>
        <w:rPr>
          <w:rFonts w:hint="eastAsia" w:ascii="宋体" w:hAnsi="宋体"/>
          <w:sz w:val="24"/>
        </w:rPr>
        <w:t>份，甲方执份</w:t>
      </w:r>
      <w:r>
        <w:rPr>
          <w:rFonts w:ascii="宋体" w:hAnsi="宋体"/>
          <w:sz w:val="24"/>
        </w:rPr>
        <w:t xml:space="preserve">, </w:t>
      </w:r>
      <w:r>
        <w:rPr>
          <w:rFonts w:hint="eastAsia" w:ascii="宋体" w:hAnsi="宋体"/>
          <w:sz w:val="24"/>
        </w:rPr>
        <w:t>乙方执</w:t>
      </w:r>
      <w:r>
        <w:rPr>
          <w:rFonts w:hint="eastAsia" w:ascii="宋体" w:hAnsi="宋体"/>
          <w:sz w:val="24"/>
          <w:u w:val="single"/>
        </w:rPr>
        <w:t>　</w:t>
      </w:r>
      <w:r>
        <w:rPr>
          <w:rFonts w:hint="eastAsia" w:ascii="宋体" w:hAnsi="宋体"/>
          <w:sz w:val="24"/>
        </w:rPr>
        <w:t>份；承德市本级政府采购管理部门、承德市政府采购中心各</w:t>
      </w:r>
      <w:r>
        <w:rPr>
          <w:rFonts w:ascii="宋体" w:hAnsi="宋体"/>
          <w:sz w:val="24"/>
        </w:rPr>
        <w:t>1</w:t>
      </w:r>
      <w:r>
        <w:rPr>
          <w:rFonts w:hint="eastAsia" w:ascii="宋体" w:hAnsi="宋体"/>
          <w:sz w:val="24"/>
        </w:rPr>
        <w:t>份。</w:t>
      </w:r>
    </w:p>
    <w:p>
      <w:pPr>
        <w:pStyle w:val="95"/>
        <w:numPr>
          <w:ilvl w:val="0"/>
          <w:numId w:val="3"/>
        </w:numPr>
        <w:adjustRightInd w:val="0"/>
        <w:snapToGrid w:val="0"/>
        <w:spacing w:line="360" w:lineRule="auto"/>
        <w:jc w:val="left"/>
        <w:rPr>
          <w:rFonts w:ascii="宋体"/>
          <w:sz w:val="24"/>
        </w:rPr>
      </w:pPr>
      <w:r>
        <w:rPr>
          <w:rFonts w:hint="eastAsia" w:ascii="宋体" w:hAnsi="宋体"/>
          <w:sz w:val="24"/>
        </w:rPr>
        <w:t>各式份具有同等法律效力。</w:t>
      </w:r>
    </w:p>
    <w:p>
      <w:pPr>
        <w:pStyle w:val="95"/>
        <w:adjustRightInd w:val="0"/>
        <w:snapToGrid w:val="0"/>
        <w:spacing w:before="156" w:beforeLines="50" w:line="360" w:lineRule="auto"/>
        <w:ind w:firstLine="482" w:firstLineChars="200"/>
        <w:rPr>
          <w:rFonts w:ascii="宋体"/>
          <w:b/>
          <w:sz w:val="24"/>
        </w:rPr>
      </w:pPr>
      <w:r>
        <w:rPr>
          <w:rFonts w:hint="eastAsia" w:ascii="宋体" w:hAnsi="宋体"/>
          <w:b/>
          <w:sz w:val="24"/>
        </w:rPr>
        <w:t>第二十三条合同构成</w:t>
      </w:r>
    </w:p>
    <w:p>
      <w:pPr>
        <w:pStyle w:val="95"/>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、有关</w:t>
      </w:r>
      <w:r>
        <w:rPr>
          <w:rFonts w:hint="eastAsia" w:ascii="宋体" w:hAnsi="宋体" w:cs="宋体"/>
          <w:kern w:val="0"/>
          <w:sz w:val="24"/>
        </w:rPr>
        <w:t>补充协议</w:t>
      </w:r>
      <w:r>
        <w:rPr>
          <w:rFonts w:hint="eastAsia" w:ascii="宋体" w:hAnsi="宋体"/>
          <w:sz w:val="24"/>
        </w:rPr>
        <w:t>，经双方审定的各种图纸、表格、数据以及技术资料、货物清单，以及乙方根据《谈判文件》在投标时向甲方提交的</w:t>
      </w:r>
      <w:r>
        <w:rPr>
          <w:rFonts w:hint="eastAsia" w:ascii="宋体" w:hAnsi="宋体"/>
          <w:bCs/>
          <w:sz w:val="24"/>
        </w:rPr>
        <w:t>授权委托书、货物生产厂商</w:t>
      </w:r>
      <w:r>
        <w:rPr>
          <w:rFonts w:hint="eastAsia" w:ascii="宋体" w:hAnsi="宋体"/>
          <w:sz w:val="24"/>
        </w:rPr>
        <w:t>或经销商的</w:t>
      </w:r>
      <w:r>
        <w:rPr>
          <w:rFonts w:hint="eastAsia" w:ascii="宋体" w:hAnsi="宋体"/>
          <w:bCs/>
          <w:sz w:val="24"/>
        </w:rPr>
        <w:t>授权文件、在承德正式登记的技术服务或售后服务机构资料等。</w:t>
      </w:r>
      <w:r>
        <w:rPr>
          <w:rFonts w:hint="eastAsia" w:ascii="宋体" w:hAnsi="宋体" w:cs="宋体"/>
          <w:kern w:val="0"/>
          <w:sz w:val="24"/>
        </w:rPr>
        <w:t>均为本合同不可分割的组成部分，与本合同具有同等的法律效力。</w:t>
      </w:r>
    </w:p>
    <w:p>
      <w:pPr>
        <w:pStyle w:val="95"/>
        <w:adjustRightInd w:val="0"/>
        <w:snapToGrid w:val="0"/>
        <w:spacing w:before="156" w:beforeLines="50" w:line="360" w:lineRule="auto"/>
        <w:ind w:firstLine="482" w:firstLineChars="200"/>
        <w:rPr>
          <w:rFonts w:ascii="宋体"/>
          <w:b/>
          <w:bCs/>
          <w:sz w:val="24"/>
        </w:rPr>
      </w:pPr>
      <w:r>
        <w:rPr>
          <w:rFonts w:hint="eastAsia" w:ascii="宋体" w:hAnsi="宋体"/>
          <w:b/>
          <w:bCs/>
          <w:sz w:val="24"/>
        </w:rPr>
        <w:t>第二十四条　其它约定的事项</w:t>
      </w:r>
    </w:p>
    <w:p>
      <w:pPr>
        <w:pStyle w:val="95"/>
        <w:adjustRightInd w:val="0"/>
        <w:snapToGrid w:val="0"/>
        <w:spacing w:line="360" w:lineRule="auto"/>
        <w:ind w:firstLine="482" w:firstLineChars="200"/>
        <w:rPr>
          <w:rFonts w:ascii="宋体"/>
          <w:b/>
          <w:sz w:val="24"/>
        </w:rPr>
      </w:pPr>
      <w:r>
        <w:rPr>
          <w:rFonts w:ascii="宋体" w:hAnsi="宋体"/>
          <w:b/>
          <w:bCs/>
          <w:sz w:val="24"/>
        </w:rPr>
        <w:t>1</w:t>
      </w:r>
      <w:r>
        <w:rPr>
          <w:rFonts w:hint="eastAsia" w:ascii="宋体" w:hAnsi="宋体"/>
          <w:b/>
          <w:bCs/>
          <w:sz w:val="24"/>
        </w:rPr>
        <w:t>、</w:t>
      </w:r>
      <w:r>
        <w:rPr>
          <w:rFonts w:hint="eastAsia" w:ascii="宋体" w:hAnsi="宋体"/>
          <w:b/>
          <w:sz w:val="24"/>
        </w:rPr>
        <w:t>有关技术培训或咨询服务的约定：</w:t>
      </w:r>
      <w:r>
        <w:rPr>
          <w:rFonts w:hint="eastAsia" w:ascii="宋体" w:hAnsi="宋体"/>
          <w:b/>
          <w:sz w:val="24"/>
          <w:u w:val="single"/>
        </w:rPr>
        <w:t>　　　　　　　　　　　　　　　　</w:t>
      </w:r>
    </w:p>
    <w:tbl>
      <w:tblPr>
        <w:tblStyle w:val="39"/>
        <w:tblW w:w="9000" w:type="dxa"/>
        <w:tblCellSpacing w:w="0" w:type="dxa"/>
        <w:tblInd w:w="0" w:type="dxa"/>
        <w:tblLayout w:type="fixed"/>
        <w:tblCellMar>
          <w:top w:w="0" w:type="dxa"/>
          <w:left w:w="0" w:type="dxa"/>
          <w:bottom w:w="0" w:type="dxa"/>
          <w:right w:w="0" w:type="dxa"/>
        </w:tblCellMar>
      </w:tblPr>
      <w:tblGrid>
        <w:gridCol w:w="4678"/>
        <w:gridCol w:w="4322"/>
      </w:tblGrid>
      <w:tr>
        <w:tblPrEx>
          <w:tblCellMar>
            <w:top w:w="0" w:type="dxa"/>
            <w:left w:w="0" w:type="dxa"/>
            <w:bottom w:w="0" w:type="dxa"/>
            <w:right w:w="0" w:type="dxa"/>
          </w:tblCellMar>
        </w:tblPrEx>
        <w:trPr>
          <w:trHeight w:val="327" w:hRule="atLeast"/>
          <w:tblCellSpacing w:w="0" w:type="dxa"/>
        </w:trPr>
        <w:tc>
          <w:tcPr>
            <w:tcW w:w="4678" w:type="dxa"/>
            <w:vAlign w:val="center"/>
          </w:tcPr>
          <w:p>
            <w:pPr>
              <w:pStyle w:val="95"/>
              <w:spacing w:line="360" w:lineRule="auto"/>
              <w:rPr>
                <w:rFonts w:ascii="宋体"/>
                <w:sz w:val="24"/>
              </w:rPr>
            </w:pPr>
            <w:r>
              <w:rPr>
                <w:rFonts w:hint="eastAsia" w:ascii="宋体" w:hAnsi="宋体"/>
                <w:sz w:val="24"/>
              </w:rPr>
              <w:t>甲方：</w:t>
            </w:r>
          </w:p>
        </w:tc>
        <w:tc>
          <w:tcPr>
            <w:tcW w:w="4322" w:type="dxa"/>
            <w:vAlign w:val="center"/>
          </w:tcPr>
          <w:p>
            <w:pPr>
              <w:pStyle w:val="95"/>
              <w:spacing w:line="360" w:lineRule="auto"/>
              <w:rPr>
                <w:rFonts w:ascii="宋体"/>
                <w:sz w:val="24"/>
              </w:rPr>
            </w:pPr>
            <w:r>
              <w:rPr>
                <w:rFonts w:hint="eastAsia" w:ascii="宋体" w:hAnsi="宋体"/>
                <w:sz w:val="24"/>
              </w:rPr>
              <w:t>乙方：</w:t>
            </w:r>
          </w:p>
        </w:tc>
      </w:tr>
      <w:tr>
        <w:tblPrEx>
          <w:tblCellMar>
            <w:top w:w="0" w:type="dxa"/>
            <w:left w:w="0" w:type="dxa"/>
            <w:bottom w:w="0" w:type="dxa"/>
            <w:right w:w="0" w:type="dxa"/>
          </w:tblCellMar>
        </w:tblPrEx>
        <w:trPr>
          <w:trHeight w:val="269" w:hRule="atLeast"/>
          <w:tblCellSpacing w:w="0" w:type="dxa"/>
        </w:trPr>
        <w:tc>
          <w:tcPr>
            <w:tcW w:w="4678" w:type="dxa"/>
            <w:vAlign w:val="center"/>
          </w:tcPr>
          <w:p>
            <w:pPr>
              <w:pStyle w:val="95"/>
              <w:spacing w:line="360" w:lineRule="auto"/>
              <w:rPr>
                <w:rFonts w:ascii="宋体"/>
                <w:sz w:val="24"/>
              </w:rPr>
            </w:pPr>
            <w:r>
              <w:rPr>
                <w:rFonts w:hint="eastAsia" w:ascii="宋体" w:hAnsi="宋体"/>
                <w:sz w:val="24"/>
              </w:rPr>
              <w:t>法定代表人：</w:t>
            </w:r>
          </w:p>
        </w:tc>
        <w:tc>
          <w:tcPr>
            <w:tcW w:w="4322" w:type="dxa"/>
            <w:vAlign w:val="center"/>
          </w:tcPr>
          <w:p>
            <w:pPr>
              <w:pStyle w:val="95"/>
              <w:spacing w:line="360" w:lineRule="auto"/>
              <w:rPr>
                <w:rFonts w:ascii="宋体"/>
                <w:sz w:val="24"/>
              </w:rPr>
            </w:pPr>
            <w:r>
              <w:rPr>
                <w:rFonts w:hint="eastAsia" w:ascii="宋体" w:hAnsi="宋体"/>
                <w:sz w:val="24"/>
              </w:rPr>
              <w:t>法定代表人：</w:t>
            </w:r>
          </w:p>
        </w:tc>
      </w:tr>
      <w:tr>
        <w:tblPrEx>
          <w:tblCellMar>
            <w:top w:w="0" w:type="dxa"/>
            <w:left w:w="0" w:type="dxa"/>
            <w:bottom w:w="0" w:type="dxa"/>
            <w:right w:w="0" w:type="dxa"/>
          </w:tblCellMar>
        </w:tblPrEx>
        <w:trPr>
          <w:trHeight w:val="367" w:hRule="atLeast"/>
          <w:tblCellSpacing w:w="0" w:type="dxa"/>
        </w:trPr>
        <w:tc>
          <w:tcPr>
            <w:tcW w:w="4678" w:type="dxa"/>
            <w:vAlign w:val="center"/>
          </w:tcPr>
          <w:p>
            <w:pPr>
              <w:pStyle w:val="95"/>
              <w:spacing w:line="360" w:lineRule="auto"/>
              <w:rPr>
                <w:rFonts w:ascii="宋体"/>
                <w:sz w:val="24"/>
              </w:rPr>
            </w:pPr>
            <w:r>
              <w:rPr>
                <w:rFonts w:hint="eastAsia" w:ascii="宋体" w:hAnsi="宋体"/>
                <w:sz w:val="24"/>
              </w:rPr>
              <w:t>委托代理人：</w:t>
            </w:r>
          </w:p>
        </w:tc>
        <w:tc>
          <w:tcPr>
            <w:tcW w:w="4322" w:type="dxa"/>
          </w:tcPr>
          <w:p>
            <w:pPr>
              <w:pStyle w:val="95"/>
              <w:spacing w:line="360" w:lineRule="auto"/>
              <w:rPr>
                <w:rFonts w:ascii="宋体"/>
                <w:sz w:val="24"/>
              </w:rPr>
            </w:pPr>
            <w:r>
              <w:rPr>
                <w:rFonts w:hint="eastAsia" w:ascii="宋体" w:hAnsi="宋体"/>
                <w:sz w:val="24"/>
              </w:rPr>
              <w:t>委托代理人：</w:t>
            </w:r>
          </w:p>
        </w:tc>
      </w:tr>
      <w:tr>
        <w:tblPrEx>
          <w:tblCellMar>
            <w:top w:w="0" w:type="dxa"/>
            <w:left w:w="0" w:type="dxa"/>
            <w:bottom w:w="0" w:type="dxa"/>
            <w:right w:w="0" w:type="dxa"/>
          </w:tblCellMar>
        </w:tblPrEx>
        <w:trPr>
          <w:trHeight w:val="430" w:hRule="atLeast"/>
          <w:tblCellSpacing w:w="0" w:type="dxa"/>
        </w:trPr>
        <w:tc>
          <w:tcPr>
            <w:tcW w:w="4678" w:type="dxa"/>
          </w:tcPr>
          <w:p>
            <w:pPr>
              <w:pStyle w:val="95"/>
              <w:spacing w:line="360" w:lineRule="auto"/>
              <w:rPr>
                <w:rFonts w:ascii="宋体"/>
                <w:sz w:val="24"/>
              </w:rPr>
            </w:pPr>
            <w:r>
              <w:rPr>
                <w:rFonts w:hint="eastAsia" w:ascii="宋体" w:hAnsi="宋体"/>
                <w:sz w:val="24"/>
              </w:rPr>
              <w:t>经办人</w:t>
            </w:r>
          </w:p>
        </w:tc>
        <w:tc>
          <w:tcPr>
            <w:tcW w:w="4322" w:type="dxa"/>
          </w:tcPr>
          <w:p>
            <w:pPr>
              <w:pStyle w:val="95"/>
              <w:spacing w:line="360" w:lineRule="auto"/>
              <w:rPr>
                <w:rFonts w:ascii="宋体"/>
                <w:sz w:val="24"/>
              </w:rPr>
            </w:pPr>
            <w:r>
              <w:rPr>
                <w:rFonts w:hint="eastAsia" w:ascii="宋体" w:hAnsi="宋体"/>
                <w:sz w:val="24"/>
              </w:rPr>
              <w:t>经办人</w:t>
            </w:r>
            <w:r>
              <w:rPr>
                <w:rFonts w:ascii="宋体" w:hAnsi="宋体"/>
                <w:bCs/>
                <w:sz w:val="24"/>
              </w:rPr>
              <w:t>:</w:t>
            </w:r>
          </w:p>
        </w:tc>
      </w:tr>
      <w:tr>
        <w:tblPrEx>
          <w:tblCellMar>
            <w:top w:w="0" w:type="dxa"/>
            <w:left w:w="0" w:type="dxa"/>
            <w:bottom w:w="0" w:type="dxa"/>
            <w:right w:w="0" w:type="dxa"/>
          </w:tblCellMar>
        </w:tblPrEx>
        <w:trPr>
          <w:trHeight w:val="238" w:hRule="atLeast"/>
          <w:tblCellSpacing w:w="0" w:type="dxa"/>
        </w:trPr>
        <w:tc>
          <w:tcPr>
            <w:tcW w:w="4678" w:type="dxa"/>
            <w:vAlign w:val="center"/>
          </w:tcPr>
          <w:p>
            <w:pPr>
              <w:pStyle w:val="95"/>
              <w:spacing w:line="360" w:lineRule="auto"/>
              <w:rPr>
                <w:rFonts w:ascii="宋体"/>
                <w:sz w:val="24"/>
              </w:rPr>
            </w:pPr>
            <w:r>
              <w:rPr>
                <w:rFonts w:hint="eastAsia" w:ascii="宋体" w:hAnsi="宋体"/>
                <w:sz w:val="24"/>
              </w:rPr>
              <w:t>电话：</w:t>
            </w:r>
          </w:p>
        </w:tc>
        <w:tc>
          <w:tcPr>
            <w:tcW w:w="4322" w:type="dxa"/>
            <w:vAlign w:val="center"/>
          </w:tcPr>
          <w:p>
            <w:pPr>
              <w:pStyle w:val="95"/>
              <w:spacing w:line="360" w:lineRule="auto"/>
              <w:rPr>
                <w:rFonts w:ascii="宋体"/>
                <w:sz w:val="24"/>
              </w:rPr>
            </w:pPr>
            <w:r>
              <w:rPr>
                <w:rFonts w:hint="eastAsia" w:ascii="宋体" w:hAnsi="宋体"/>
                <w:sz w:val="24"/>
              </w:rPr>
              <w:t>电话：</w:t>
            </w:r>
          </w:p>
        </w:tc>
      </w:tr>
      <w:tr>
        <w:tblPrEx>
          <w:tblCellMar>
            <w:top w:w="0" w:type="dxa"/>
            <w:left w:w="0" w:type="dxa"/>
            <w:bottom w:w="0" w:type="dxa"/>
            <w:right w:w="0" w:type="dxa"/>
          </w:tblCellMar>
        </w:tblPrEx>
        <w:trPr>
          <w:trHeight w:val="463" w:hRule="atLeast"/>
          <w:tblCellSpacing w:w="0" w:type="dxa"/>
        </w:trPr>
        <w:tc>
          <w:tcPr>
            <w:tcW w:w="4678" w:type="dxa"/>
            <w:vAlign w:val="center"/>
          </w:tcPr>
          <w:p>
            <w:pPr>
              <w:pStyle w:val="95"/>
              <w:spacing w:line="360" w:lineRule="auto"/>
              <w:rPr>
                <w:rFonts w:ascii="宋体"/>
                <w:sz w:val="24"/>
              </w:rPr>
            </w:pPr>
            <w:r>
              <w:rPr>
                <w:rFonts w:hint="eastAsia" w:ascii="宋体" w:hAnsi="宋体"/>
                <w:sz w:val="24"/>
              </w:rPr>
              <w:t>开户银行：</w:t>
            </w:r>
          </w:p>
          <w:p>
            <w:pPr>
              <w:pStyle w:val="95"/>
              <w:spacing w:line="360" w:lineRule="auto"/>
              <w:rPr>
                <w:rFonts w:ascii="宋体"/>
                <w:sz w:val="24"/>
              </w:rPr>
            </w:pPr>
            <w:r>
              <w:rPr>
                <w:rFonts w:hint="eastAsia" w:ascii="宋体" w:hAnsi="宋体"/>
                <w:sz w:val="24"/>
              </w:rPr>
              <w:t>开户名称：</w:t>
            </w:r>
          </w:p>
        </w:tc>
        <w:tc>
          <w:tcPr>
            <w:tcW w:w="4322" w:type="dxa"/>
            <w:vAlign w:val="center"/>
          </w:tcPr>
          <w:p>
            <w:pPr>
              <w:pStyle w:val="95"/>
              <w:spacing w:line="360" w:lineRule="auto"/>
              <w:rPr>
                <w:rFonts w:ascii="宋体"/>
                <w:sz w:val="24"/>
              </w:rPr>
            </w:pPr>
            <w:r>
              <w:rPr>
                <w:rFonts w:hint="eastAsia" w:ascii="宋体" w:hAnsi="宋体"/>
                <w:sz w:val="24"/>
              </w:rPr>
              <w:t>开户银行：</w:t>
            </w:r>
          </w:p>
          <w:p>
            <w:pPr>
              <w:pStyle w:val="95"/>
              <w:spacing w:line="360" w:lineRule="auto"/>
              <w:rPr>
                <w:rFonts w:ascii="宋体"/>
                <w:sz w:val="24"/>
              </w:rPr>
            </w:pPr>
            <w:r>
              <w:rPr>
                <w:rFonts w:hint="eastAsia" w:ascii="宋体" w:hAnsi="宋体"/>
                <w:sz w:val="24"/>
              </w:rPr>
              <w:t>开户名称：</w:t>
            </w:r>
          </w:p>
        </w:tc>
      </w:tr>
      <w:tr>
        <w:tblPrEx>
          <w:tblCellMar>
            <w:top w:w="0" w:type="dxa"/>
            <w:left w:w="0" w:type="dxa"/>
            <w:bottom w:w="0" w:type="dxa"/>
            <w:right w:w="0" w:type="dxa"/>
          </w:tblCellMar>
        </w:tblPrEx>
        <w:trPr>
          <w:trHeight w:val="349" w:hRule="atLeast"/>
          <w:tblCellSpacing w:w="0" w:type="dxa"/>
        </w:trPr>
        <w:tc>
          <w:tcPr>
            <w:tcW w:w="4678" w:type="dxa"/>
            <w:vAlign w:val="center"/>
          </w:tcPr>
          <w:p>
            <w:pPr>
              <w:pStyle w:val="95"/>
              <w:spacing w:line="360" w:lineRule="auto"/>
              <w:rPr>
                <w:rFonts w:ascii="宋体"/>
                <w:sz w:val="24"/>
              </w:rPr>
            </w:pPr>
            <w:r>
              <w:rPr>
                <w:rFonts w:hint="eastAsia" w:ascii="宋体" w:hAnsi="宋体"/>
                <w:sz w:val="24"/>
              </w:rPr>
              <w:t>账号：</w:t>
            </w:r>
          </w:p>
        </w:tc>
        <w:tc>
          <w:tcPr>
            <w:tcW w:w="4322" w:type="dxa"/>
            <w:vAlign w:val="center"/>
          </w:tcPr>
          <w:p>
            <w:pPr>
              <w:pStyle w:val="95"/>
              <w:spacing w:line="360" w:lineRule="auto"/>
              <w:rPr>
                <w:rFonts w:ascii="宋体"/>
                <w:sz w:val="24"/>
              </w:rPr>
            </w:pPr>
            <w:r>
              <w:rPr>
                <w:rFonts w:hint="eastAsia" w:ascii="宋体" w:hAnsi="宋体"/>
                <w:sz w:val="24"/>
              </w:rPr>
              <w:t>账号：</w:t>
            </w:r>
          </w:p>
        </w:tc>
      </w:tr>
      <w:tr>
        <w:tblPrEx>
          <w:tblCellMar>
            <w:top w:w="0" w:type="dxa"/>
            <w:left w:w="0" w:type="dxa"/>
            <w:bottom w:w="0" w:type="dxa"/>
            <w:right w:w="0" w:type="dxa"/>
          </w:tblCellMar>
        </w:tblPrEx>
        <w:trPr>
          <w:trHeight w:val="1196" w:hRule="atLeast"/>
          <w:tblCellSpacing w:w="0" w:type="dxa"/>
        </w:trPr>
        <w:tc>
          <w:tcPr>
            <w:tcW w:w="4678" w:type="dxa"/>
            <w:vAlign w:val="center"/>
          </w:tcPr>
          <w:p>
            <w:pPr>
              <w:pStyle w:val="95"/>
              <w:spacing w:line="360" w:lineRule="auto"/>
              <w:rPr>
                <w:rFonts w:ascii="宋体"/>
                <w:sz w:val="24"/>
              </w:rPr>
            </w:pPr>
            <w:r>
              <w:rPr>
                <w:rFonts w:hint="eastAsia" w:ascii="宋体" w:hAnsi="宋体"/>
                <w:sz w:val="24"/>
              </w:rPr>
              <w:t>地址与邮政编码：</w:t>
            </w:r>
          </w:p>
          <w:p>
            <w:pPr>
              <w:pStyle w:val="95"/>
              <w:spacing w:line="360" w:lineRule="auto"/>
              <w:rPr>
                <w:rFonts w:ascii="宋体"/>
                <w:sz w:val="24"/>
              </w:rPr>
            </w:pPr>
            <w:r>
              <w:rPr>
                <w:rFonts w:hint="eastAsia" w:ascii="宋体" w:hAnsi="宋体"/>
                <w:sz w:val="24"/>
              </w:rPr>
              <w:t>签约时间：年月日</w:t>
            </w:r>
          </w:p>
        </w:tc>
        <w:tc>
          <w:tcPr>
            <w:tcW w:w="4322" w:type="dxa"/>
            <w:vAlign w:val="center"/>
          </w:tcPr>
          <w:p>
            <w:pPr>
              <w:pStyle w:val="95"/>
              <w:spacing w:line="360" w:lineRule="auto"/>
              <w:rPr>
                <w:rFonts w:ascii="宋体"/>
                <w:sz w:val="24"/>
              </w:rPr>
            </w:pPr>
            <w:r>
              <w:rPr>
                <w:rFonts w:hint="eastAsia" w:ascii="宋体" w:hAnsi="宋体"/>
                <w:sz w:val="24"/>
              </w:rPr>
              <w:t>地址与邮政编码：</w:t>
            </w:r>
          </w:p>
          <w:p>
            <w:pPr>
              <w:pStyle w:val="95"/>
              <w:spacing w:line="360" w:lineRule="auto"/>
              <w:rPr>
                <w:rFonts w:ascii="宋体"/>
                <w:sz w:val="24"/>
              </w:rPr>
            </w:pPr>
            <w:r>
              <w:rPr>
                <w:rFonts w:hint="eastAsia" w:ascii="宋体" w:hAnsi="宋体"/>
                <w:sz w:val="24"/>
              </w:rPr>
              <w:t>签约时间：年　　月　日</w:t>
            </w:r>
          </w:p>
        </w:tc>
      </w:tr>
    </w:tbl>
    <w:p>
      <w:pPr>
        <w:pStyle w:val="58"/>
        <w:rPr>
          <w:b/>
          <w:bCs/>
        </w:rPr>
      </w:pPr>
      <w:r>
        <w:rPr>
          <w:rFonts w:hint="eastAsia"/>
          <w:b/>
          <w:bCs/>
        </w:rPr>
        <w:t>注：本合同为参考版本，具体签订内容以采购项目成交后采购人提供的正式合同为准。</w:t>
      </w:r>
    </w:p>
    <w:p>
      <w:pPr>
        <w:jc w:val="center"/>
        <w:rPr>
          <w:rFonts w:ascii="宋体" w:cs="Arial"/>
          <w:b/>
          <w:bCs/>
          <w:sz w:val="32"/>
        </w:rPr>
      </w:pPr>
    </w:p>
    <w:p>
      <w:pPr>
        <w:jc w:val="center"/>
        <w:rPr>
          <w:rFonts w:ascii="宋体" w:cs="Arial"/>
          <w:b/>
          <w:bCs/>
          <w:color w:val="auto"/>
          <w:sz w:val="32"/>
        </w:rPr>
      </w:pPr>
    </w:p>
    <w:p>
      <w:pPr>
        <w:jc w:val="center"/>
        <w:rPr>
          <w:rFonts w:ascii="宋体" w:cs="Arial"/>
          <w:b/>
          <w:bCs/>
          <w:color w:val="auto"/>
          <w:sz w:val="32"/>
        </w:rPr>
      </w:pPr>
    </w:p>
    <w:p>
      <w:pPr>
        <w:jc w:val="center"/>
        <w:rPr>
          <w:rFonts w:ascii="宋体" w:cs="Arial"/>
          <w:b/>
          <w:bCs/>
          <w:color w:val="auto"/>
          <w:sz w:val="32"/>
        </w:rPr>
      </w:pPr>
    </w:p>
    <w:p>
      <w:pPr>
        <w:jc w:val="center"/>
        <w:rPr>
          <w:rFonts w:ascii="宋体" w:cs="Arial"/>
          <w:b/>
          <w:bCs/>
          <w:color w:val="auto"/>
          <w:sz w:val="32"/>
        </w:rPr>
      </w:pPr>
    </w:p>
    <w:p>
      <w:pPr>
        <w:pStyle w:val="58"/>
        <w:rPr>
          <w:color w:val="auto"/>
        </w:rPr>
      </w:pPr>
    </w:p>
    <w:p>
      <w:pPr>
        <w:pStyle w:val="58"/>
        <w:rPr>
          <w:color w:val="auto"/>
        </w:rPr>
      </w:pPr>
    </w:p>
    <w:p>
      <w:pPr>
        <w:pStyle w:val="58"/>
        <w:rPr>
          <w:color w:val="auto"/>
        </w:rPr>
      </w:pPr>
    </w:p>
    <w:p>
      <w:pPr>
        <w:pStyle w:val="58"/>
        <w:rPr>
          <w:color w:val="auto"/>
        </w:rPr>
      </w:pPr>
    </w:p>
    <w:p>
      <w:pPr>
        <w:pStyle w:val="58"/>
        <w:rPr>
          <w:color w:val="auto"/>
        </w:rPr>
      </w:pPr>
    </w:p>
    <w:p>
      <w:pPr>
        <w:pStyle w:val="58"/>
        <w:rPr>
          <w:color w:val="auto"/>
        </w:rPr>
      </w:pPr>
    </w:p>
    <w:p>
      <w:pPr>
        <w:pStyle w:val="58"/>
        <w:rPr>
          <w:color w:val="auto"/>
        </w:rPr>
      </w:pPr>
    </w:p>
    <w:p>
      <w:pPr>
        <w:pStyle w:val="58"/>
        <w:rPr>
          <w:color w:val="auto"/>
        </w:rPr>
      </w:pPr>
    </w:p>
    <w:p>
      <w:pPr>
        <w:rPr>
          <w:color w:val="auto"/>
        </w:rPr>
      </w:pPr>
    </w:p>
    <w:p>
      <w:pPr>
        <w:spacing w:line="360" w:lineRule="auto"/>
        <w:jc w:val="center"/>
        <w:outlineLvl w:val="0"/>
        <w:rPr>
          <w:rFonts w:ascii="宋体" w:hAnsi="宋体" w:cs="宋体"/>
          <w:b/>
          <w:kern w:val="44"/>
          <w:sz w:val="36"/>
          <w:szCs w:val="36"/>
        </w:rPr>
      </w:pPr>
      <w:r>
        <w:rPr>
          <w:rFonts w:ascii="宋体" w:cs="宋体"/>
          <w:color w:val="auto"/>
          <w:kern w:val="0"/>
          <w:sz w:val="32"/>
          <w:szCs w:val="32"/>
        </w:rPr>
        <w:br w:type="page"/>
      </w:r>
      <w:bookmarkStart w:id="36" w:name="第四部分"/>
      <w:bookmarkEnd w:id="36"/>
      <w:bookmarkStart w:id="37" w:name="_Toc1277"/>
      <w:bookmarkStart w:id="38" w:name="_Toc317257921"/>
      <w:r>
        <w:rPr>
          <w:rFonts w:hint="eastAsia" w:ascii="宋体" w:hAnsi="宋体" w:cs="宋体"/>
          <w:b/>
          <w:kern w:val="44"/>
          <w:sz w:val="36"/>
          <w:szCs w:val="36"/>
        </w:rPr>
        <w:t xml:space="preserve">第四部分 </w:t>
      </w:r>
      <w:r>
        <w:rPr>
          <w:rFonts w:ascii="宋体" w:hAnsi="宋体" w:cs="宋体"/>
          <w:b/>
          <w:kern w:val="44"/>
          <w:sz w:val="36"/>
          <w:szCs w:val="36"/>
        </w:rPr>
        <w:t xml:space="preserve"> </w:t>
      </w:r>
      <w:r>
        <w:rPr>
          <w:rFonts w:hint="eastAsia" w:ascii="宋体" w:hAnsi="宋体" w:cs="宋体"/>
          <w:b/>
          <w:kern w:val="44"/>
          <w:sz w:val="36"/>
          <w:szCs w:val="36"/>
        </w:rPr>
        <w:t>采购项目要求</w:t>
      </w:r>
      <w:bookmarkEnd w:id="37"/>
    </w:p>
    <w:bookmarkEnd w:id="38"/>
    <w:p>
      <w:pPr>
        <w:spacing w:line="560" w:lineRule="exact"/>
        <w:ind w:firstLine="562" w:firstLineChars="200"/>
        <w:rPr>
          <w:rFonts w:ascii="宋体" w:hAnsi="宋体" w:cs="宋体"/>
          <w:b/>
          <w:bCs/>
          <w:sz w:val="28"/>
          <w:szCs w:val="28"/>
        </w:rPr>
      </w:pPr>
      <w:r>
        <w:rPr>
          <w:rFonts w:hint="eastAsia" w:ascii="宋体" w:hAnsi="宋体" w:cs="宋体"/>
          <w:b/>
          <w:bCs/>
          <w:sz w:val="28"/>
          <w:szCs w:val="28"/>
        </w:rPr>
        <w:t>本次采购预算金额为</w:t>
      </w:r>
      <w:r>
        <w:rPr>
          <w:rFonts w:hint="eastAsia" w:ascii="宋体" w:hAnsi="宋体" w:cs="宋体"/>
          <w:b/>
          <w:bCs/>
          <w:sz w:val="28"/>
          <w:szCs w:val="28"/>
          <w:lang w:val="en-US" w:eastAsia="zh-CN"/>
        </w:rPr>
        <w:t>3552</w:t>
      </w:r>
      <w:r>
        <w:rPr>
          <w:rFonts w:ascii="宋体" w:hAnsi="宋体" w:cs="宋体"/>
          <w:b/>
          <w:bCs/>
          <w:sz w:val="28"/>
          <w:szCs w:val="28"/>
        </w:rPr>
        <w:t>00</w:t>
      </w:r>
      <w:r>
        <w:rPr>
          <w:rFonts w:hint="eastAsia" w:ascii="宋体" w:hAnsi="宋体" w:cs="宋体"/>
          <w:b/>
          <w:bCs/>
          <w:sz w:val="28"/>
          <w:szCs w:val="28"/>
        </w:rPr>
        <w:t>.00元。投标报价不超过采购预算，否则投标无效。</w:t>
      </w:r>
    </w:p>
    <w:p>
      <w:pPr>
        <w:spacing w:line="560" w:lineRule="exact"/>
        <w:rPr>
          <w:rFonts w:ascii="宋体" w:hAnsi="宋体" w:cs="宋体"/>
          <w:b/>
          <w:sz w:val="28"/>
          <w:szCs w:val="28"/>
        </w:rPr>
      </w:pPr>
      <w:r>
        <w:rPr>
          <w:rFonts w:hint="eastAsia" w:ascii="宋体" w:hAnsi="宋体" w:cs="宋体"/>
          <w:b/>
          <w:sz w:val="28"/>
          <w:szCs w:val="28"/>
        </w:rPr>
        <w:t>一、投标人的资格要求：</w:t>
      </w:r>
    </w:p>
    <w:p>
      <w:pPr>
        <w:spacing w:line="560" w:lineRule="exact"/>
        <w:rPr>
          <w:rFonts w:ascii="宋体" w:hAnsi="宋体" w:cs="宋体"/>
          <w:sz w:val="28"/>
          <w:szCs w:val="28"/>
        </w:rPr>
      </w:pPr>
      <w:r>
        <w:rPr>
          <w:rFonts w:hint="eastAsia" w:ascii="宋体" w:hAnsi="宋体" w:cs="宋体"/>
          <w:sz w:val="28"/>
          <w:szCs w:val="28"/>
        </w:rPr>
        <w:t>1、投标人需符合《中华人民共和国政府采购法》对供应商的规定；</w:t>
      </w:r>
    </w:p>
    <w:p>
      <w:pPr>
        <w:spacing w:line="560" w:lineRule="exact"/>
        <w:rPr>
          <w:rFonts w:hint="eastAsia" w:ascii="宋体" w:hAnsi="宋体" w:cs="宋体"/>
          <w:sz w:val="28"/>
          <w:szCs w:val="28"/>
        </w:rPr>
      </w:pPr>
      <w:r>
        <w:rPr>
          <w:rFonts w:hint="eastAsia" w:ascii="宋体" w:hAnsi="宋体" w:cs="宋体"/>
          <w:sz w:val="28"/>
          <w:szCs w:val="28"/>
        </w:rPr>
        <w:t>2、本项目不接受联合体投标。</w:t>
      </w:r>
    </w:p>
    <w:p>
      <w:pPr>
        <w:spacing w:line="560" w:lineRule="exact"/>
        <w:rPr>
          <w:rFonts w:hint="eastAsia" w:ascii="宋体" w:hAnsi="宋体" w:cs="宋体"/>
          <w:b/>
          <w:sz w:val="28"/>
          <w:szCs w:val="28"/>
        </w:rPr>
      </w:pPr>
      <w:r>
        <w:rPr>
          <w:rFonts w:hint="eastAsia" w:ascii="宋体" w:hAnsi="宋体" w:cs="宋体"/>
          <w:b/>
          <w:sz w:val="28"/>
          <w:szCs w:val="28"/>
        </w:rPr>
        <w:t>二、采购设备清单</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623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00" w:lineRule="auto"/>
              <w:jc w:val="center"/>
              <w:rPr>
                <w:rFonts w:ascii="宋体" w:hAnsi="宋体" w:cs="宋体"/>
                <w:sz w:val="28"/>
                <w:szCs w:val="28"/>
              </w:rPr>
            </w:pPr>
            <w:r>
              <w:rPr>
                <w:rFonts w:hint="eastAsia" w:ascii="宋体" w:hAnsi="宋体" w:cs="宋体"/>
                <w:sz w:val="28"/>
                <w:szCs w:val="28"/>
              </w:rPr>
              <w:t>序号</w:t>
            </w:r>
          </w:p>
        </w:tc>
        <w:tc>
          <w:tcPr>
            <w:tcW w:w="348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00" w:lineRule="auto"/>
              <w:jc w:val="center"/>
              <w:rPr>
                <w:rFonts w:ascii="宋体" w:hAnsi="宋体" w:cs="宋体"/>
                <w:sz w:val="28"/>
                <w:szCs w:val="28"/>
              </w:rPr>
            </w:pPr>
            <w:r>
              <w:rPr>
                <w:rFonts w:hint="eastAsia" w:ascii="宋体" w:hAnsi="宋体" w:cs="宋体"/>
                <w:sz w:val="28"/>
                <w:szCs w:val="28"/>
              </w:rPr>
              <w:t>产品名称</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00" w:lineRule="auto"/>
              <w:jc w:val="center"/>
              <w:rPr>
                <w:rFonts w:ascii="宋体" w:hAnsi="宋体" w:cs="宋体"/>
                <w:sz w:val="28"/>
                <w:szCs w:val="28"/>
              </w:rPr>
            </w:pPr>
            <w:r>
              <w:rPr>
                <w:rFonts w:hint="eastAsia" w:ascii="宋体" w:hAnsi="宋体" w:cs="宋体"/>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sz w:val="28"/>
                <w:szCs w:val="28"/>
              </w:rPr>
            </w:pPr>
            <w:r>
              <w:rPr>
                <w:rFonts w:hint="eastAsia" w:ascii="宋体" w:hAnsi="宋体" w:cs="宋体"/>
                <w:sz w:val="28"/>
                <w:szCs w:val="28"/>
              </w:rPr>
              <w:t>1</w:t>
            </w:r>
          </w:p>
        </w:tc>
        <w:tc>
          <w:tcPr>
            <w:tcW w:w="3487"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sz w:val="28"/>
                <w:szCs w:val="28"/>
              </w:rPr>
            </w:pPr>
            <w:r>
              <w:rPr>
                <w:rFonts w:hint="eastAsia" w:ascii="宋体" w:hAnsi="宋体" w:cs="宋体"/>
                <w:sz w:val="28"/>
                <w:szCs w:val="28"/>
              </w:rPr>
              <w:t>电脑</w:t>
            </w:r>
          </w:p>
        </w:tc>
        <w:tc>
          <w:tcPr>
            <w:tcW w:w="756" w:type="pct"/>
            <w:tcBorders>
              <w:top w:val="single" w:color="auto" w:sz="8" w:space="0"/>
              <w:left w:val="single" w:color="auto" w:sz="8" w:space="0"/>
              <w:bottom w:val="single" w:color="auto" w:sz="8" w:space="0"/>
              <w:right w:val="single" w:color="auto" w:sz="8" w:space="0"/>
            </w:tcBorders>
            <w:shd w:val="clear" w:color="auto" w:fill="auto"/>
            <w:vAlign w:val="center"/>
          </w:tcPr>
          <w:p>
            <w:pPr>
              <w:snapToGrid w:val="0"/>
              <w:spacing w:line="30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74</w:t>
            </w:r>
          </w:p>
        </w:tc>
      </w:tr>
    </w:tbl>
    <w:p>
      <w:pPr>
        <w:spacing w:line="360" w:lineRule="auto"/>
        <w:rPr>
          <w:rFonts w:ascii="宋体" w:hAnsi="宋体" w:cs="宋体"/>
          <w:sz w:val="28"/>
          <w:szCs w:val="28"/>
        </w:rPr>
      </w:pPr>
      <w:r>
        <w:rPr>
          <w:rFonts w:hint="eastAsia" w:ascii="宋体" w:hAnsi="宋体" w:cs="宋体"/>
          <w:b/>
          <w:sz w:val="28"/>
          <w:szCs w:val="28"/>
        </w:rPr>
        <w:t>三、采购设备技术参数（服务要求）</w:t>
      </w:r>
      <w:r>
        <w:rPr>
          <w:rFonts w:hint="eastAsia" w:ascii="宋体" w:hAnsi="宋体" w:cs="宋体"/>
          <w:sz w:val="28"/>
          <w:szCs w:val="28"/>
        </w:rPr>
        <w:t xml:space="preserve"> </w:t>
      </w:r>
      <w:r>
        <w:rPr>
          <w:rFonts w:ascii="宋体" w:hAnsi="宋体" w:cs="宋体"/>
          <w:sz w:val="28"/>
          <w:szCs w:val="28"/>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423"/>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center"/>
              <w:rPr>
                <w:rFonts w:ascii="宋体" w:hAnsi="宋体" w:cs="宋体"/>
                <w:b/>
                <w:bCs/>
                <w:sz w:val="28"/>
                <w:szCs w:val="28"/>
              </w:rPr>
            </w:pPr>
            <w:r>
              <w:rPr>
                <w:rFonts w:hint="eastAsia" w:ascii="宋体" w:hAnsi="宋体" w:cs="宋体"/>
                <w:b/>
                <w:bCs/>
                <w:sz w:val="28"/>
                <w:szCs w:val="28"/>
              </w:rPr>
              <w:t>序号</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center"/>
              <w:rPr>
                <w:rFonts w:ascii="宋体" w:hAnsi="宋体" w:cs="宋体"/>
                <w:b/>
                <w:bCs/>
                <w:sz w:val="28"/>
                <w:szCs w:val="28"/>
              </w:rPr>
            </w:pPr>
            <w:r>
              <w:rPr>
                <w:rFonts w:hint="eastAsia" w:ascii="宋体" w:hAnsi="宋体" w:cs="宋体"/>
                <w:b/>
                <w:bCs/>
                <w:sz w:val="28"/>
                <w:szCs w:val="28"/>
              </w:rPr>
              <w:t>产品名称</w:t>
            </w:r>
          </w:p>
        </w:tc>
        <w:tc>
          <w:tcPr>
            <w:tcW w:w="65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center"/>
              <w:rPr>
                <w:rFonts w:ascii="宋体" w:hAnsi="宋体" w:cs="宋体"/>
                <w:b/>
                <w:bCs/>
                <w:sz w:val="28"/>
                <w:szCs w:val="28"/>
              </w:rPr>
            </w:pPr>
            <w:r>
              <w:rPr>
                <w:rFonts w:hint="eastAsia" w:ascii="宋体" w:hAnsi="宋体" w:cs="宋体"/>
                <w:b/>
                <w:bCs/>
                <w:sz w:val="28"/>
                <w:szCs w:val="2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1</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电脑</w:t>
            </w:r>
          </w:p>
        </w:tc>
        <w:tc>
          <w:tcPr>
            <w:tcW w:w="6526" w:type="dxa"/>
            <w:tcBorders>
              <w:top w:val="single" w:color="auto" w:sz="8" w:space="0"/>
              <w:left w:val="single" w:color="auto" w:sz="8" w:space="0"/>
              <w:bottom w:val="single" w:color="auto" w:sz="8" w:space="0"/>
              <w:right w:val="single" w:color="auto" w:sz="8" w:space="0"/>
            </w:tcBorders>
            <w:vAlign w:val="center"/>
          </w:tcPr>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CPU型号:≥I5 10500</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速度:≥3.1GHz</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核心数: ≥六核</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三级缓存: ≥6MB</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内存容量：≥16GB</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内存插槽数量: ≥2个</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速度: ≥DDR4 2666MHz</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最大支持容量:32GB</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硬盘容量：≥512G SSD</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视频接口：VGA/HDMI接口</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显卡:集成高性能显卡</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声卡:集成声卡</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网卡:主板集成1000Mbps自适应以太网卡</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屏幕尺寸: ≥23英寸LED显示器</w:t>
            </w:r>
          </w:p>
          <w:p>
            <w:pPr>
              <w:pStyle w:val="150"/>
              <w:widowControl/>
              <w:numPr>
                <w:ilvl w:val="0"/>
                <w:numId w:val="4"/>
              </w:numPr>
              <w:spacing w:line="400" w:lineRule="exact"/>
              <w:ind w:firstLineChars="0"/>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屏幕分辨率：≥1920*1080</w:t>
            </w:r>
          </w:p>
          <w:p>
            <w:pPr>
              <w:pStyle w:val="150"/>
              <w:numPr>
                <w:ilvl w:val="0"/>
                <w:numId w:val="4"/>
              </w:numPr>
              <w:spacing w:line="400" w:lineRule="exact"/>
              <w:ind w:firstLineChars="0"/>
              <w:jc w:val="left"/>
              <w:rPr>
                <w:rFonts w:ascii="宋体" w:hAnsi="宋体" w:cs="宋体"/>
                <w:sz w:val="28"/>
                <w:szCs w:val="28"/>
              </w:rPr>
            </w:pPr>
            <w:r>
              <w:rPr>
                <w:rFonts w:hint="eastAsia" w:ascii="宋体" w:hAnsi="宋体" w:eastAsia="宋体" w:cs="宋体"/>
                <w:kern w:val="2"/>
                <w:sz w:val="28"/>
                <w:szCs w:val="28"/>
                <w:lang w:val="en-US" w:eastAsia="zh-CN" w:bidi="ar-SA"/>
              </w:rPr>
              <w:t>质保期≥3年</w:t>
            </w:r>
          </w:p>
        </w:tc>
      </w:tr>
    </w:tbl>
    <w:p>
      <w:pPr>
        <w:spacing w:line="360" w:lineRule="auto"/>
        <w:rPr>
          <w:rFonts w:ascii="宋体" w:hAnsi="宋体" w:cs="宋体"/>
          <w:b/>
          <w:sz w:val="28"/>
          <w:szCs w:val="28"/>
        </w:rPr>
      </w:pPr>
      <w:r>
        <w:rPr>
          <w:rFonts w:hint="eastAsia" w:ascii="宋体" w:hAnsi="宋体" w:cs="宋体"/>
          <w:b/>
          <w:sz w:val="28"/>
          <w:szCs w:val="28"/>
        </w:rPr>
        <w:t>四、采购项目要求</w:t>
      </w:r>
    </w:p>
    <w:p>
      <w:pPr>
        <w:spacing w:line="360" w:lineRule="auto"/>
        <w:ind w:firstLine="560" w:firstLineChars="200"/>
        <w:rPr>
          <w:rFonts w:ascii="宋体" w:hAnsi="宋体" w:cs="宋体"/>
          <w:sz w:val="28"/>
          <w:szCs w:val="28"/>
        </w:rPr>
      </w:pPr>
      <w:r>
        <w:rPr>
          <w:rFonts w:hint="eastAsia" w:ascii="宋体" w:hAnsi="宋体" w:cs="宋体"/>
          <w:sz w:val="28"/>
          <w:szCs w:val="28"/>
        </w:rPr>
        <w:t>1、所投设备需为国内正规厂家生产，符合最新国家相关标准，所有设备必须为合格产品，执行国家三包政策。要求货物是全新原厂原装产品，符合买方购置的设备预案，质量、规格和技术性能安全可靠。</w:t>
      </w:r>
    </w:p>
    <w:p>
      <w:pPr>
        <w:spacing w:line="360" w:lineRule="auto"/>
        <w:ind w:firstLine="560" w:firstLineChars="200"/>
        <w:rPr>
          <w:rFonts w:ascii="宋体" w:hAnsi="宋体" w:cs="宋体"/>
          <w:sz w:val="28"/>
          <w:szCs w:val="28"/>
        </w:rPr>
      </w:pPr>
      <w:r>
        <w:rPr>
          <w:rFonts w:hint="eastAsia" w:ascii="宋体" w:hAnsi="宋体" w:cs="宋体"/>
          <w:sz w:val="28"/>
          <w:szCs w:val="28"/>
        </w:rPr>
        <w:t>2、所购设备到场后，按买方指定地点由供方派专业技术人员免费协调指导安装调试，直至设备运转正常无误，负责对采购方指定人员进行免费培训，并提供技术咨询和维护保障服务。</w:t>
      </w:r>
    </w:p>
    <w:p>
      <w:pPr>
        <w:spacing w:line="360" w:lineRule="auto"/>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电脑</w:t>
      </w:r>
      <w:r>
        <w:rPr>
          <w:rFonts w:hint="eastAsia" w:ascii="宋体" w:hAnsi="宋体" w:cs="宋体"/>
          <w:sz w:val="28"/>
          <w:szCs w:val="28"/>
        </w:rPr>
        <w:t>要求免费保修3年；软件提供3年内免费升级服务，其他设备按原厂质保期免费保修。在货物（包括产品及服务）质量保证期内（货物最终验收后），免费维修更换有缺陷的货物。</w:t>
      </w:r>
    </w:p>
    <w:p>
      <w:pPr>
        <w:spacing w:line="360" w:lineRule="auto"/>
        <w:ind w:firstLine="560" w:firstLineChars="200"/>
        <w:rPr>
          <w:rFonts w:ascii="宋体" w:hAnsi="宋体" w:cs="宋体"/>
          <w:sz w:val="28"/>
          <w:szCs w:val="28"/>
        </w:rPr>
      </w:pPr>
      <w:r>
        <w:rPr>
          <w:rFonts w:hint="eastAsia" w:ascii="宋体" w:hAnsi="宋体" w:cs="宋体"/>
          <w:sz w:val="28"/>
          <w:szCs w:val="28"/>
        </w:rPr>
        <w:t>4、产品故障响应时间：质保期内，中标人安排专人负责免费维护，设备出现故障中标人应在8小时内做出响应，24小时内派专业技术人员到现场进行维护，48小时内解决问题，故障不能按时排除应提供备用机。</w:t>
      </w:r>
    </w:p>
    <w:p>
      <w:pPr>
        <w:pStyle w:val="16"/>
        <w:ind w:firstLine="560" w:firstLineChars="200"/>
        <w:rPr>
          <w:rFonts w:ascii="宋体" w:hAnsi="宋体" w:cs="宋体"/>
          <w:color w:val="auto"/>
          <w:lang w:val="en-US"/>
        </w:rPr>
      </w:pPr>
      <w:r>
        <w:rPr>
          <w:rFonts w:hint="eastAsia" w:ascii="宋体" w:hAnsi="宋体" w:cs="宋体"/>
          <w:b w:val="0"/>
          <w:bCs w:val="0"/>
          <w:color w:val="auto"/>
          <w:sz w:val="28"/>
          <w:lang w:val="en-US"/>
        </w:rPr>
        <w:t>5、合同签订后60日内，按招标要求将所有设备购置到位并按采购单位要求进行免费安装、调试，确保采购单位正常使用。</w:t>
      </w:r>
    </w:p>
    <w:p>
      <w:pPr>
        <w:pStyle w:val="16"/>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6、验收标准</w:t>
      </w:r>
    </w:p>
    <w:p>
      <w:pPr>
        <w:pStyle w:val="16"/>
        <w:numPr>
          <w:ilvl w:val="0"/>
          <w:numId w:val="5"/>
        </w:numPr>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交付的货物、软件之质量、技术、环保、安全、卫生等标准必须符合中华人民共和国国家标准：国家标准为执行的最低标准。</w:t>
      </w:r>
    </w:p>
    <w:p>
      <w:pPr>
        <w:pStyle w:val="16"/>
        <w:numPr>
          <w:ilvl w:val="0"/>
          <w:numId w:val="5"/>
        </w:numPr>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提供的货物、软件均必须是全新的、表面和内部均无下次的原厂正品。</w:t>
      </w:r>
    </w:p>
    <w:p>
      <w:pPr>
        <w:pStyle w:val="16"/>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7、采购资金的支付方式、时间、条件。</w:t>
      </w:r>
    </w:p>
    <w:p>
      <w:pPr>
        <w:pStyle w:val="16"/>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采购人在设备、软件安装验收合格后向供货商支付合同总价款。</w:t>
      </w:r>
    </w:p>
    <w:p>
      <w:pPr>
        <w:pStyle w:val="16"/>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8、货物、服务提供的时间、地点、方式。</w:t>
      </w:r>
    </w:p>
    <w:p>
      <w:pPr>
        <w:pStyle w:val="16"/>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供货时间：签订合同后的60天内。</w:t>
      </w:r>
    </w:p>
    <w:p>
      <w:pPr>
        <w:pStyle w:val="16"/>
        <w:ind w:firstLine="560" w:firstLineChars="200"/>
        <w:rPr>
          <w:rFonts w:ascii="宋体" w:hAnsi="宋体" w:cs="宋体"/>
          <w:b w:val="0"/>
          <w:bCs w:val="0"/>
          <w:color w:val="auto"/>
          <w:sz w:val="28"/>
          <w:lang w:val="en-US"/>
        </w:rPr>
      </w:pPr>
      <w:r>
        <w:rPr>
          <w:rFonts w:hint="eastAsia" w:ascii="宋体" w:hAnsi="宋体" w:cs="宋体"/>
          <w:b w:val="0"/>
          <w:bCs w:val="0"/>
          <w:color w:val="auto"/>
          <w:sz w:val="28"/>
          <w:lang w:val="en-US"/>
        </w:rPr>
        <w:t>供货地点：将货物运送到甲方指定的地点（需安装的，为指定安装场所）。</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★电脑为政府强制采购产品，投标人所投产品应提供国家确定的认证机构出具的、处于有效期之内的节能产品认证证书复印件和强制性产品认证证书复印件。</w:t>
      </w:r>
    </w:p>
    <w:p>
      <w:pPr>
        <w:pStyle w:val="16"/>
        <w:ind w:firstLine="560" w:firstLineChars="200"/>
        <w:rPr>
          <w:rFonts w:ascii="宋体" w:hAnsi="宋体" w:cs="宋体"/>
          <w:b w:val="0"/>
          <w:bCs w:val="0"/>
          <w:color w:val="auto"/>
          <w:sz w:val="28"/>
          <w:lang w:val="en-US"/>
        </w:rPr>
      </w:pPr>
    </w:p>
    <w:p>
      <w:pPr>
        <w:rPr>
          <w:rStyle w:val="185"/>
          <w:rFonts w:ascii="宋体" w:hAnsi="宋体"/>
          <w:b/>
          <w:bCs/>
          <w:sz w:val="28"/>
          <w:szCs w:val="28"/>
        </w:rPr>
      </w:pPr>
    </w:p>
    <w:p>
      <w:pPr>
        <w:pStyle w:val="58"/>
        <w:jc w:val="center"/>
        <w:rPr>
          <w:rStyle w:val="185"/>
          <w:rFonts w:ascii="宋体"/>
          <w:b/>
          <w:bCs/>
          <w:sz w:val="36"/>
          <w:szCs w:val="36"/>
        </w:rPr>
      </w:pPr>
      <w:r>
        <w:rPr>
          <w:color w:val="auto"/>
        </w:rPr>
        <w:br w:type="page"/>
      </w:r>
      <w:bookmarkEnd w:id="13"/>
      <w:bookmarkStart w:id="39" w:name="_Toc20694"/>
      <w:bookmarkStart w:id="40" w:name="_Toc31310"/>
      <w:bookmarkStart w:id="41" w:name="_Toc31351"/>
      <w:r>
        <w:rPr>
          <w:rStyle w:val="185"/>
          <w:rFonts w:hint="eastAsia" w:ascii="宋体" w:hAnsi="宋体"/>
          <w:b/>
          <w:bCs/>
          <w:sz w:val="36"/>
          <w:szCs w:val="36"/>
        </w:rPr>
        <w:t>第五部分</w:t>
      </w:r>
      <w:bookmarkStart w:id="42" w:name="_Toc5597408"/>
      <w:r>
        <w:rPr>
          <w:rStyle w:val="185"/>
          <w:rFonts w:hint="eastAsia" w:ascii="宋体" w:hAnsi="宋体"/>
          <w:b/>
          <w:bCs/>
          <w:sz w:val="36"/>
          <w:szCs w:val="36"/>
        </w:rPr>
        <w:t xml:space="preserve">  响应文件格式</w:t>
      </w:r>
      <w:bookmarkEnd w:id="39"/>
      <w:bookmarkEnd w:id="42"/>
    </w:p>
    <w:p>
      <w:pPr>
        <w:rPr>
          <w:rFonts w:ascii="宋体"/>
          <w:bCs/>
          <w:sz w:val="28"/>
          <w:szCs w:val="28"/>
        </w:rPr>
      </w:pPr>
      <w:r>
        <w:rPr>
          <w:rFonts w:hint="eastAsia" w:ascii="宋体" w:hAnsi="宋体"/>
          <w:bCs/>
          <w:sz w:val="28"/>
          <w:szCs w:val="28"/>
        </w:rPr>
        <w:t>附件</w:t>
      </w:r>
      <w:r>
        <w:rPr>
          <w:rFonts w:ascii="宋体" w:hAnsi="宋体"/>
          <w:bCs/>
          <w:sz w:val="28"/>
          <w:szCs w:val="28"/>
        </w:rPr>
        <w:t>1</w:t>
      </w:r>
      <w:r>
        <w:rPr>
          <w:rFonts w:hint="eastAsia" w:ascii="宋体" w:hAnsi="宋体"/>
          <w:bCs/>
          <w:sz w:val="28"/>
          <w:szCs w:val="28"/>
        </w:rPr>
        <w:t>：</w:t>
      </w:r>
    </w:p>
    <w:tbl>
      <w:tblPr>
        <w:tblStyle w:val="39"/>
        <w:tblpPr w:leftFromText="180" w:rightFromText="180" w:vertAnchor="text" w:horzAnchor="margin" w:tblpY="332"/>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0" w:hRule="atLeast"/>
        </w:trPr>
        <w:tc>
          <w:tcPr>
            <w:tcW w:w="9191" w:type="dxa"/>
          </w:tcPr>
          <w:p>
            <w:pPr>
              <w:jc w:val="center"/>
              <w:rPr>
                <w:rFonts w:ascii="宋体"/>
                <w:bCs/>
                <w:sz w:val="28"/>
                <w:szCs w:val="28"/>
              </w:rPr>
            </w:pPr>
          </w:p>
          <w:p>
            <w:pPr>
              <w:pStyle w:val="16"/>
              <w:rPr>
                <w:color w:val="auto"/>
                <w:lang w:val="en-US"/>
              </w:rPr>
            </w:pPr>
          </w:p>
          <w:p>
            <w:pPr>
              <w:jc w:val="center"/>
              <w:rPr>
                <w:rFonts w:ascii="宋体"/>
                <w:bCs/>
                <w:sz w:val="28"/>
                <w:szCs w:val="28"/>
              </w:rPr>
            </w:pPr>
          </w:p>
          <w:p>
            <w:pPr>
              <w:jc w:val="center"/>
              <w:rPr>
                <w:rFonts w:ascii="宋体"/>
                <w:bCs/>
                <w:sz w:val="44"/>
                <w:szCs w:val="44"/>
              </w:rPr>
            </w:pPr>
            <w:r>
              <w:rPr>
                <w:rFonts w:hint="eastAsia" w:ascii="宋体" w:hAnsi="宋体"/>
                <w:bCs/>
                <w:sz w:val="44"/>
                <w:szCs w:val="44"/>
              </w:rPr>
              <w:t>项目名称</w:t>
            </w:r>
          </w:p>
          <w:p>
            <w:pPr>
              <w:rPr>
                <w:rFonts w:ascii="宋体"/>
                <w:bCs/>
                <w:sz w:val="84"/>
                <w:szCs w:val="84"/>
              </w:rPr>
            </w:pPr>
          </w:p>
          <w:p>
            <w:pPr>
              <w:jc w:val="center"/>
              <w:rPr>
                <w:rFonts w:ascii="宋体"/>
                <w:bCs/>
                <w:sz w:val="84"/>
                <w:szCs w:val="84"/>
              </w:rPr>
            </w:pPr>
            <w:r>
              <w:rPr>
                <w:rFonts w:hint="eastAsia" w:ascii="宋体" w:hAnsi="宋体"/>
                <w:bCs/>
                <w:sz w:val="84"/>
                <w:szCs w:val="84"/>
              </w:rPr>
              <w:t>响应文件</w:t>
            </w:r>
          </w:p>
          <w:p>
            <w:pPr>
              <w:jc w:val="center"/>
              <w:rPr>
                <w:rFonts w:ascii="宋体"/>
                <w:bCs/>
                <w:sz w:val="28"/>
                <w:szCs w:val="28"/>
              </w:rPr>
            </w:pPr>
          </w:p>
          <w:p>
            <w:pPr>
              <w:jc w:val="center"/>
              <w:rPr>
                <w:rFonts w:ascii="宋体"/>
                <w:bCs/>
                <w:sz w:val="28"/>
                <w:szCs w:val="28"/>
              </w:rPr>
            </w:pPr>
            <w:r>
              <w:rPr>
                <w:rFonts w:hint="eastAsia" w:ascii="宋体" w:hAnsi="宋体"/>
                <w:bCs/>
                <w:sz w:val="28"/>
                <w:szCs w:val="28"/>
              </w:rPr>
              <w:t>项目编号：</w:t>
            </w: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ind w:firstLine="560" w:firstLineChars="200"/>
              <w:rPr>
                <w:rFonts w:ascii="宋体"/>
                <w:bCs/>
                <w:sz w:val="28"/>
                <w:szCs w:val="28"/>
              </w:rPr>
            </w:pPr>
            <w:r>
              <w:rPr>
                <w:rFonts w:hint="eastAsia" w:ascii="宋体" w:hAnsi="宋体"/>
                <w:bCs/>
                <w:sz w:val="28"/>
                <w:szCs w:val="28"/>
              </w:rPr>
              <w:t>供应商名称（盖章）：</w:t>
            </w:r>
          </w:p>
          <w:p>
            <w:pPr>
              <w:ind w:firstLine="560" w:firstLineChars="200"/>
              <w:rPr>
                <w:rFonts w:ascii="宋体"/>
                <w:bCs/>
                <w:sz w:val="28"/>
                <w:szCs w:val="28"/>
              </w:rPr>
            </w:pPr>
            <w:r>
              <w:rPr>
                <w:rFonts w:hint="eastAsia" w:ascii="宋体" w:hAnsi="宋体"/>
                <w:bCs/>
                <w:sz w:val="28"/>
                <w:szCs w:val="28"/>
              </w:rPr>
              <w:t>法定代表人或法定代表人委托人（签字或盖章）：</w:t>
            </w:r>
          </w:p>
          <w:p>
            <w:pPr>
              <w:rPr>
                <w:rFonts w:ascii="宋体"/>
                <w:bCs/>
                <w:sz w:val="28"/>
                <w:szCs w:val="28"/>
              </w:rPr>
            </w:pPr>
          </w:p>
          <w:p>
            <w:pPr>
              <w:rPr>
                <w:rFonts w:ascii="宋体"/>
                <w:bCs/>
                <w:sz w:val="28"/>
                <w:szCs w:val="28"/>
              </w:rPr>
            </w:pPr>
            <w:r>
              <w:rPr>
                <w:rFonts w:hint="eastAsia" w:ascii="宋体" w:hAnsi="宋体"/>
                <w:bCs/>
                <w:sz w:val="28"/>
                <w:szCs w:val="28"/>
              </w:rPr>
              <w:t>开标日期：年月日</w:t>
            </w:r>
          </w:p>
        </w:tc>
      </w:tr>
    </w:tbl>
    <w:p>
      <w:pPr>
        <w:jc w:val="center"/>
        <w:outlineLvl w:val="1"/>
        <w:rPr>
          <w:rFonts w:ascii="宋体"/>
          <w:bCs/>
          <w:color w:val="auto"/>
          <w:sz w:val="24"/>
        </w:rPr>
      </w:pPr>
      <w:bookmarkStart w:id="43" w:name="_Toc3687"/>
      <w:r>
        <w:rPr>
          <w:rFonts w:hint="eastAsia" w:ascii="宋体" w:hAnsi="宋体"/>
          <w:bCs/>
          <w:color w:val="auto"/>
          <w:sz w:val="24"/>
        </w:rPr>
        <w:t>响应文件封面格式</w:t>
      </w:r>
      <w:bookmarkEnd w:id="40"/>
      <w:bookmarkEnd w:id="41"/>
      <w:bookmarkEnd w:id="43"/>
    </w:p>
    <w:p>
      <w:pPr>
        <w:spacing w:line="360" w:lineRule="auto"/>
        <w:rPr>
          <w:rFonts w:ascii="宋体"/>
          <w:bCs/>
          <w:color w:val="auto"/>
          <w:sz w:val="28"/>
          <w:szCs w:val="28"/>
        </w:rPr>
      </w:pPr>
      <w:r>
        <w:rPr>
          <w:rFonts w:hint="eastAsia" w:ascii="宋体" w:hAnsi="宋体"/>
          <w:bCs/>
          <w:color w:val="auto"/>
          <w:sz w:val="28"/>
          <w:szCs w:val="28"/>
        </w:rPr>
        <w:t>附件</w:t>
      </w:r>
      <w:r>
        <w:rPr>
          <w:rFonts w:ascii="宋体" w:hAnsi="宋体"/>
          <w:bCs/>
          <w:color w:val="auto"/>
          <w:sz w:val="28"/>
          <w:szCs w:val="28"/>
        </w:rPr>
        <w:t>2</w:t>
      </w:r>
      <w:r>
        <w:rPr>
          <w:rFonts w:hint="eastAsia" w:ascii="宋体" w:hAnsi="宋体"/>
          <w:bCs/>
          <w:color w:val="auto"/>
          <w:sz w:val="28"/>
          <w:szCs w:val="28"/>
        </w:rPr>
        <w:t>：</w:t>
      </w:r>
    </w:p>
    <w:p>
      <w:pPr>
        <w:jc w:val="center"/>
        <w:outlineLvl w:val="1"/>
        <w:rPr>
          <w:b/>
          <w:color w:val="auto"/>
          <w:sz w:val="28"/>
        </w:rPr>
      </w:pPr>
      <w:bookmarkStart w:id="44" w:name="_Toc14474"/>
      <w:bookmarkStart w:id="45" w:name="_Toc14151"/>
      <w:bookmarkStart w:id="46" w:name="_Toc16340"/>
      <w:r>
        <w:rPr>
          <w:rFonts w:hint="eastAsia"/>
          <w:b/>
          <w:color w:val="auto"/>
          <w:sz w:val="28"/>
        </w:rPr>
        <w:t>投</w:t>
      </w:r>
      <w:r>
        <w:rPr>
          <w:rFonts w:hint="eastAsia"/>
          <w:b/>
          <w:color w:val="auto"/>
          <w:sz w:val="28"/>
          <w:lang w:val="en-US" w:eastAsia="zh-CN"/>
        </w:rPr>
        <w:t xml:space="preserve"> </w:t>
      </w:r>
      <w:r>
        <w:rPr>
          <w:rFonts w:hint="eastAsia"/>
          <w:b/>
          <w:color w:val="auto"/>
          <w:sz w:val="28"/>
        </w:rPr>
        <w:t>标</w:t>
      </w:r>
      <w:r>
        <w:rPr>
          <w:rFonts w:hint="eastAsia"/>
          <w:b/>
          <w:color w:val="auto"/>
          <w:sz w:val="28"/>
          <w:lang w:val="en-US" w:eastAsia="zh-CN"/>
        </w:rPr>
        <w:t xml:space="preserve"> </w:t>
      </w:r>
      <w:r>
        <w:rPr>
          <w:rFonts w:hint="eastAsia"/>
          <w:b/>
          <w:color w:val="auto"/>
          <w:sz w:val="28"/>
        </w:rPr>
        <w:t>函</w:t>
      </w:r>
      <w:bookmarkEnd w:id="44"/>
      <w:bookmarkEnd w:id="45"/>
      <w:bookmarkEnd w:id="46"/>
    </w:p>
    <w:p>
      <w:pPr>
        <w:spacing w:line="360" w:lineRule="auto"/>
        <w:rPr>
          <w:rFonts w:ascii="宋体" w:hAnsi="宋体"/>
          <w:color w:val="auto"/>
          <w:sz w:val="24"/>
        </w:rPr>
      </w:pPr>
    </w:p>
    <w:p>
      <w:pPr>
        <w:spacing w:line="360" w:lineRule="auto"/>
        <w:rPr>
          <w:rFonts w:hint="eastAsia" w:ascii="宋体" w:eastAsia="宋体"/>
          <w:color w:val="auto"/>
          <w:sz w:val="24"/>
          <w:lang w:eastAsia="zh-CN"/>
        </w:rPr>
      </w:pPr>
      <w:r>
        <w:rPr>
          <w:rFonts w:hint="eastAsia" w:ascii="宋体" w:hAnsi="宋体"/>
          <w:color w:val="auto"/>
          <w:sz w:val="24"/>
        </w:rPr>
        <w:t>致：</w:t>
      </w:r>
      <w:r>
        <w:rPr>
          <w:rFonts w:hint="eastAsia" w:ascii="宋体" w:hAnsi="宋体"/>
          <w:color w:val="auto"/>
          <w:sz w:val="24"/>
          <w:lang w:eastAsia="zh-CN"/>
        </w:rPr>
        <w:t>（采购人）</w:t>
      </w:r>
    </w:p>
    <w:p>
      <w:pPr>
        <w:spacing w:line="360" w:lineRule="auto"/>
        <w:ind w:firstLine="460" w:firstLineChars="192"/>
        <w:rPr>
          <w:rFonts w:ascii="宋体"/>
          <w:color w:val="auto"/>
          <w:sz w:val="24"/>
        </w:rPr>
      </w:pPr>
      <w:r>
        <w:rPr>
          <w:rFonts w:hint="eastAsia" w:ascii="宋体" w:hAnsi="宋体"/>
          <w:color w:val="auto"/>
          <w:sz w:val="24"/>
        </w:rPr>
        <w:t>根据贵方</w:t>
      </w:r>
      <w:r>
        <w:rPr>
          <w:rFonts w:ascii="宋体" w:hAnsi="宋体"/>
          <w:color w:val="auto"/>
          <w:sz w:val="24"/>
          <w:u w:val="single"/>
        </w:rPr>
        <w:t xml:space="preserve">                </w:t>
      </w:r>
      <w:r>
        <w:rPr>
          <w:rFonts w:hint="eastAsia" w:ascii="宋体" w:hAnsi="宋体"/>
          <w:color w:val="auto"/>
          <w:sz w:val="24"/>
        </w:rPr>
        <w:t>项目的投标邀请（项目编号为</w:t>
      </w:r>
      <w:r>
        <w:rPr>
          <w:rFonts w:ascii="宋体" w:hAnsi="宋体"/>
          <w:color w:val="auto"/>
          <w:sz w:val="24"/>
          <w:u w:val="single"/>
        </w:rPr>
        <w:t xml:space="preserve">                </w:t>
      </w:r>
      <w:r>
        <w:rPr>
          <w:rFonts w:hint="eastAsia" w:ascii="宋体" w:hAnsi="宋体"/>
          <w:color w:val="auto"/>
          <w:sz w:val="24"/>
        </w:rPr>
        <w:t>），签字代表</w:t>
      </w:r>
      <w:r>
        <w:rPr>
          <w:rFonts w:ascii="宋体" w:hAnsi="宋体"/>
          <w:color w:val="auto"/>
          <w:sz w:val="24"/>
          <w:u w:val="single"/>
        </w:rPr>
        <w:t xml:space="preserve">       </w:t>
      </w:r>
      <w:r>
        <w:rPr>
          <w:rFonts w:hint="eastAsia" w:ascii="宋体" w:hAnsi="宋体"/>
          <w:color w:val="auto"/>
          <w:sz w:val="24"/>
        </w:rPr>
        <w:t>（全名、职务）经正式授权并代表供应商</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（供应商名称、地址）提交下述文件</w:t>
      </w:r>
    </w:p>
    <w:p>
      <w:pPr>
        <w:numPr>
          <w:ilvl w:val="0"/>
          <w:numId w:val="0"/>
        </w:numPr>
        <w:tabs>
          <w:tab w:val="left" w:pos="900"/>
        </w:tabs>
        <w:spacing w:line="360" w:lineRule="auto"/>
        <w:ind w:leftChars="0"/>
        <w:rPr>
          <w:rFonts w:ascii="宋体"/>
          <w:color w:val="auto"/>
          <w:sz w:val="24"/>
        </w:rPr>
      </w:pPr>
      <w:r>
        <w:rPr>
          <w:rFonts w:hint="eastAsia" w:ascii="宋体" w:hAnsi="宋体"/>
          <w:color w:val="auto"/>
          <w:sz w:val="24"/>
          <w:lang w:eastAsia="zh-CN"/>
        </w:rPr>
        <w:t>一、</w:t>
      </w:r>
      <w:r>
        <w:rPr>
          <w:rFonts w:hint="eastAsia" w:ascii="宋体" w:hAnsi="宋体"/>
          <w:color w:val="auto"/>
          <w:sz w:val="24"/>
        </w:rPr>
        <w:t>签字代表宣布同意如下：</w:t>
      </w:r>
    </w:p>
    <w:p>
      <w:pPr>
        <w:spacing w:line="360" w:lineRule="auto"/>
        <w:ind w:left="2318" w:leftChars="304" w:hanging="1680" w:hangingChars="700"/>
        <w:rPr>
          <w:rFonts w:ascii="宋体"/>
          <w:color w:val="auto"/>
          <w:sz w:val="24"/>
        </w:rPr>
      </w:pPr>
      <w:r>
        <w:rPr>
          <w:rFonts w:ascii="宋体" w:hAnsi="宋体"/>
          <w:color w:val="auto"/>
          <w:sz w:val="24"/>
        </w:rPr>
        <w:t>1</w:t>
      </w:r>
      <w:r>
        <w:rPr>
          <w:rFonts w:hint="eastAsia" w:ascii="宋体" w:hAnsi="宋体"/>
          <w:color w:val="auto"/>
          <w:sz w:val="24"/>
        </w:rPr>
        <w:t>．按</w:t>
      </w:r>
      <w:r>
        <w:rPr>
          <w:rFonts w:hint="eastAsia" w:ascii="宋体" w:hAnsi="宋体"/>
          <w:color w:val="auto"/>
          <w:sz w:val="24"/>
          <w:lang w:val="en-US" w:eastAsia="zh-CN"/>
        </w:rPr>
        <w:t>谈判</w:t>
      </w:r>
      <w:r>
        <w:rPr>
          <w:rFonts w:hint="eastAsia" w:ascii="宋体" w:hAnsi="宋体"/>
          <w:color w:val="auto"/>
          <w:sz w:val="24"/>
        </w:rPr>
        <w:t>文件规定提供交付的货物</w:t>
      </w:r>
      <w:r>
        <w:rPr>
          <w:rFonts w:ascii="宋体" w:hAnsi="宋体"/>
          <w:color w:val="auto"/>
          <w:sz w:val="24"/>
        </w:rPr>
        <w:t>/</w:t>
      </w:r>
      <w:r>
        <w:rPr>
          <w:rFonts w:hint="eastAsia" w:ascii="宋体" w:hAnsi="宋体"/>
          <w:color w:val="auto"/>
          <w:sz w:val="24"/>
        </w:rPr>
        <w:t>服务的投标总价为（大写）</w:t>
      </w:r>
      <w:r>
        <w:rPr>
          <w:rFonts w:ascii="宋体" w:hAnsi="宋体"/>
          <w:color w:val="auto"/>
          <w:sz w:val="24"/>
          <w:u w:val="single"/>
        </w:rPr>
        <w:t xml:space="preserve">   </w:t>
      </w:r>
      <w:r>
        <w:rPr>
          <w:rFonts w:hint="eastAsia" w:ascii="宋体" w:hAnsi="宋体"/>
          <w:color w:val="auto"/>
          <w:sz w:val="24"/>
        </w:rPr>
        <w:t>元人民币。</w:t>
      </w:r>
    </w:p>
    <w:p>
      <w:pPr>
        <w:spacing w:line="360" w:lineRule="auto"/>
        <w:ind w:firstLine="614" w:firstLineChars="256"/>
        <w:rPr>
          <w:rFonts w:ascii="宋体"/>
          <w:color w:val="auto"/>
          <w:sz w:val="24"/>
        </w:rPr>
      </w:pPr>
      <w:r>
        <w:rPr>
          <w:rFonts w:ascii="宋体" w:hAnsi="宋体"/>
          <w:color w:val="auto"/>
          <w:sz w:val="24"/>
        </w:rPr>
        <w:t>2</w:t>
      </w:r>
      <w:r>
        <w:rPr>
          <w:rFonts w:hint="eastAsia" w:ascii="宋体" w:hAnsi="宋体"/>
          <w:color w:val="auto"/>
          <w:sz w:val="24"/>
        </w:rPr>
        <w:t>．投标人将按招标文件的规定履行合同责任和义务。</w:t>
      </w:r>
    </w:p>
    <w:p>
      <w:pPr>
        <w:pStyle w:val="24"/>
        <w:ind w:firstLine="614" w:firstLineChars="256"/>
        <w:rPr>
          <w:rFonts w:ascii="宋体"/>
          <w:color w:val="auto"/>
          <w:sz w:val="24"/>
        </w:rPr>
      </w:pPr>
      <w:r>
        <w:rPr>
          <w:rFonts w:ascii="宋体" w:hAnsi="宋体"/>
          <w:color w:val="auto"/>
          <w:sz w:val="24"/>
        </w:rPr>
        <w:t>3</w:t>
      </w:r>
      <w:r>
        <w:rPr>
          <w:rFonts w:hint="eastAsia" w:ascii="宋体" w:hAnsi="宋体"/>
          <w:color w:val="auto"/>
          <w:sz w:val="24"/>
        </w:rPr>
        <w:t>．投标人已详细审查全部</w:t>
      </w:r>
      <w:r>
        <w:rPr>
          <w:rFonts w:hint="eastAsia" w:ascii="宋体" w:hAnsi="宋体"/>
          <w:color w:val="auto"/>
          <w:sz w:val="24"/>
          <w:lang w:val="en-US" w:eastAsia="zh-CN"/>
        </w:rPr>
        <w:t>谈判</w:t>
      </w:r>
      <w:r>
        <w:rPr>
          <w:rFonts w:hint="eastAsia" w:ascii="宋体" w:hAnsi="宋体"/>
          <w:color w:val="auto"/>
          <w:sz w:val="24"/>
        </w:rPr>
        <w:t>文件，包括修改文件（如有的话）以及全部参考资料和有关附件。我们完全理解并同意放弃对这方面有不明及误解的权利。</w:t>
      </w:r>
    </w:p>
    <w:p>
      <w:pPr>
        <w:spacing w:line="360" w:lineRule="auto"/>
        <w:ind w:firstLine="614" w:firstLineChars="256"/>
        <w:rPr>
          <w:rFonts w:ascii="宋体"/>
          <w:color w:val="auto"/>
          <w:sz w:val="24"/>
        </w:rPr>
      </w:pPr>
      <w:r>
        <w:rPr>
          <w:rFonts w:ascii="宋体" w:hAnsi="宋体"/>
          <w:color w:val="auto"/>
          <w:sz w:val="24"/>
        </w:rPr>
        <w:t>4</w:t>
      </w:r>
      <w:r>
        <w:rPr>
          <w:rFonts w:hint="eastAsia" w:ascii="宋体" w:hAnsi="宋体"/>
          <w:color w:val="auto"/>
          <w:sz w:val="24"/>
        </w:rPr>
        <w:t>．其投标自开标日起有效期为</w:t>
      </w:r>
      <w:r>
        <w:rPr>
          <w:rFonts w:ascii="宋体" w:hAnsi="宋体"/>
          <w:color w:val="auto"/>
          <w:sz w:val="24"/>
          <w:u w:val="single"/>
        </w:rPr>
        <w:t>60</w:t>
      </w:r>
      <w:r>
        <w:rPr>
          <w:rFonts w:hint="eastAsia" w:ascii="宋体" w:hAnsi="宋体"/>
          <w:color w:val="auto"/>
          <w:sz w:val="24"/>
        </w:rPr>
        <w:t>天。</w:t>
      </w:r>
    </w:p>
    <w:p>
      <w:pPr>
        <w:pStyle w:val="18"/>
        <w:spacing w:line="360" w:lineRule="auto"/>
        <w:ind w:firstLine="614" w:firstLineChars="256"/>
        <w:rPr>
          <w:color w:val="auto"/>
          <w:sz w:val="24"/>
        </w:rPr>
      </w:pPr>
      <w:r>
        <w:rPr>
          <w:rFonts w:hint="eastAsia"/>
          <w:color w:val="auto"/>
          <w:sz w:val="24"/>
          <w:lang w:val="en-US" w:eastAsia="zh-CN"/>
        </w:rPr>
        <w:t>5</w:t>
      </w:r>
      <w:r>
        <w:rPr>
          <w:rFonts w:hint="eastAsia"/>
          <w:color w:val="auto"/>
          <w:sz w:val="24"/>
        </w:rPr>
        <w:t>．投标人同意提供按照贵方可能要求的与其投标有关的一切数据或资料。</w:t>
      </w:r>
    </w:p>
    <w:p>
      <w:pPr>
        <w:spacing w:line="360" w:lineRule="auto"/>
        <w:ind w:firstLine="614" w:firstLineChars="256"/>
        <w:rPr>
          <w:rFonts w:ascii="宋体"/>
          <w:color w:val="auto"/>
          <w:sz w:val="24"/>
        </w:rPr>
      </w:pPr>
      <w:r>
        <w:rPr>
          <w:rFonts w:hint="eastAsia" w:ascii="宋体" w:hAnsi="宋体"/>
          <w:color w:val="auto"/>
          <w:sz w:val="24"/>
          <w:lang w:val="en-US" w:eastAsia="zh-CN"/>
        </w:rPr>
        <w:t>6</w:t>
      </w:r>
      <w:r>
        <w:rPr>
          <w:rFonts w:hint="eastAsia" w:ascii="宋体" w:hAnsi="宋体"/>
          <w:color w:val="auto"/>
          <w:sz w:val="24"/>
        </w:rPr>
        <w:t>．投标人完全理解贵方不一定要接受最低报价的投标或收到的任何投标。</w:t>
      </w:r>
    </w:p>
    <w:p>
      <w:pPr>
        <w:spacing w:line="360" w:lineRule="auto"/>
        <w:ind w:firstLine="614" w:firstLineChars="256"/>
        <w:rPr>
          <w:rFonts w:ascii="宋体"/>
          <w:color w:val="auto"/>
          <w:sz w:val="24"/>
        </w:rPr>
      </w:pPr>
      <w:r>
        <w:rPr>
          <w:rFonts w:hint="eastAsia" w:ascii="宋体" w:hAnsi="宋体"/>
          <w:color w:val="auto"/>
          <w:sz w:val="24"/>
          <w:lang w:val="en-US" w:eastAsia="zh-CN"/>
        </w:rPr>
        <w:t>7</w:t>
      </w:r>
      <w:r>
        <w:rPr>
          <w:rFonts w:hint="eastAsia" w:ascii="宋体" w:hAnsi="宋体"/>
          <w:color w:val="auto"/>
          <w:sz w:val="24"/>
        </w:rPr>
        <w:t>．与本投标有关的一切正式往来通讯请寄：</w:t>
      </w:r>
    </w:p>
    <w:p>
      <w:pPr>
        <w:spacing w:before="120" w:line="240" w:lineRule="atLeast"/>
        <w:rPr>
          <w:rFonts w:ascii="宋体"/>
          <w:color w:val="auto"/>
          <w:sz w:val="24"/>
        </w:rPr>
      </w:pPr>
      <w:r>
        <w:rPr>
          <w:rFonts w:ascii="宋体" w:hAnsi="宋体"/>
          <w:color w:val="auto"/>
          <w:sz w:val="24"/>
        </w:rPr>
        <w:t xml:space="preserve">            </w:t>
      </w:r>
    </w:p>
    <w:p>
      <w:pPr>
        <w:spacing w:before="120" w:line="240" w:lineRule="atLeast"/>
        <w:rPr>
          <w:rFonts w:ascii="宋体"/>
          <w:color w:val="auto"/>
          <w:sz w:val="24"/>
        </w:rPr>
      </w:pPr>
    </w:p>
    <w:p>
      <w:pPr>
        <w:spacing w:before="120" w:line="360" w:lineRule="auto"/>
        <w:ind w:firstLine="1440" w:firstLineChars="600"/>
        <w:rPr>
          <w:rFonts w:ascii="宋体" w:hAnsi="宋体"/>
          <w:color w:val="auto"/>
          <w:sz w:val="24"/>
        </w:rPr>
      </w:pPr>
      <w:r>
        <w:rPr>
          <w:rFonts w:hint="eastAsia" w:ascii="宋体" w:hAnsi="宋体"/>
          <w:color w:val="auto"/>
          <w:sz w:val="24"/>
        </w:rPr>
        <w:t>地址：</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邮编</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 xml:space="preserve"> </w:t>
      </w:r>
    </w:p>
    <w:p>
      <w:pPr>
        <w:spacing w:before="120" w:line="360" w:lineRule="auto"/>
        <w:rPr>
          <w:rFonts w:ascii="宋体" w:hAnsi="宋体"/>
          <w:color w:val="auto"/>
          <w:sz w:val="24"/>
        </w:rPr>
      </w:pPr>
      <w:r>
        <w:rPr>
          <w:rFonts w:ascii="宋体" w:hAnsi="宋体"/>
          <w:color w:val="auto"/>
          <w:sz w:val="24"/>
        </w:rPr>
        <w:t xml:space="preserve">            </w:t>
      </w:r>
      <w:r>
        <w:rPr>
          <w:rFonts w:hint="eastAsia" w:ascii="宋体" w:hAnsi="宋体"/>
          <w:color w:val="auto"/>
          <w:sz w:val="24"/>
        </w:rPr>
        <w:t>电话：</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传真：</w:t>
      </w:r>
      <w:r>
        <w:rPr>
          <w:rFonts w:ascii="宋体" w:hAnsi="宋体"/>
          <w:color w:val="auto"/>
          <w:sz w:val="24"/>
          <w:u w:val="single"/>
        </w:rPr>
        <w:t xml:space="preserve">           </w:t>
      </w:r>
      <w:r>
        <w:rPr>
          <w:rFonts w:ascii="宋体" w:hAnsi="宋体"/>
          <w:color w:val="auto"/>
          <w:sz w:val="24"/>
        </w:rPr>
        <w:t xml:space="preserve">  </w:t>
      </w:r>
    </w:p>
    <w:p>
      <w:pPr>
        <w:spacing w:before="120" w:line="360" w:lineRule="auto"/>
        <w:rPr>
          <w:rFonts w:ascii="宋体" w:hAnsi="宋体"/>
          <w:color w:val="auto"/>
          <w:sz w:val="24"/>
        </w:rPr>
      </w:pPr>
      <w:r>
        <w:rPr>
          <w:rFonts w:ascii="宋体" w:hAnsi="宋体"/>
          <w:color w:val="auto"/>
          <w:sz w:val="24"/>
        </w:rPr>
        <w:t xml:space="preserve">            </w:t>
      </w:r>
      <w:r>
        <w:rPr>
          <w:rFonts w:hint="eastAsia" w:ascii="宋体" w:hAnsi="宋体"/>
          <w:color w:val="auto"/>
          <w:sz w:val="24"/>
        </w:rPr>
        <w:t>供应商代表姓名、职务（印刷体）：</w:t>
      </w:r>
      <w:r>
        <w:rPr>
          <w:rFonts w:ascii="宋体" w:hAnsi="宋体"/>
          <w:color w:val="auto"/>
          <w:sz w:val="24"/>
          <w:u w:val="single"/>
        </w:rPr>
        <w:t xml:space="preserve">          </w:t>
      </w:r>
      <w:r>
        <w:rPr>
          <w:rFonts w:ascii="宋体" w:hAnsi="宋体"/>
          <w:color w:val="auto"/>
          <w:sz w:val="24"/>
        </w:rPr>
        <w:t xml:space="preserve">  </w:t>
      </w:r>
    </w:p>
    <w:p>
      <w:pPr>
        <w:spacing w:before="120" w:line="360" w:lineRule="auto"/>
        <w:rPr>
          <w:rFonts w:ascii="宋体" w:hAnsi="宋体"/>
          <w:color w:val="auto"/>
          <w:sz w:val="24"/>
        </w:rPr>
      </w:pPr>
      <w:r>
        <w:rPr>
          <w:rFonts w:ascii="宋体" w:hAnsi="宋体"/>
          <w:color w:val="auto"/>
          <w:sz w:val="24"/>
        </w:rPr>
        <w:t xml:space="preserve">            </w:t>
      </w:r>
      <w:r>
        <w:rPr>
          <w:rFonts w:hint="eastAsia" w:ascii="宋体" w:hAnsi="宋体"/>
          <w:color w:val="auto"/>
          <w:sz w:val="24"/>
        </w:rPr>
        <w:t>供应商名称：</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（公章）</w:t>
      </w:r>
      <w:r>
        <w:rPr>
          <w:rFonts w:ascii="宋体" w:hAnsi="宋体"/>
          <w:color w:val="auto"/>
          <w:sz w:val="24"/>
        </w:rPr>
        <w:t xml:space="preserve">  </w:t>
      </w:r>
    </w:p>
    <w:p>
      <w:pPr>
        <w:spacing w:before="120" w:line="360" w:lineRule="auto"/>
        <w:rPr>
          <w:rFonts w:ascii="宋体" w:hAnsi="宋体"/>
          <w:color w:val="auto"/>
          <w:sz w:val="24"/>
        </w:rPr>
      </w:pPr>
      <w:r>
        <w:rPr>
          <w:rFonts w:ascii="宋体" w:hAnsi="宋体"/>
          <w:color w:val="auto"/>
          <w:sz w:val="24"/>
        </w:rPr>
        <w:t xml:space="preserve">            </w:t>
      </w:r>
      <w:r>
        <w:rPr>
          <w:rFonts w:hint="eastAsia" w:ascii="宋体" w:hAnsi="宋体"/>
          <w:color w:val="auto"/>
          <w:sz w:val="24"/>
        </w:rPr>
        <w:t>日期：</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p>
    <w:p>
      <w:pPr>
        <w:spacing w:line="360" w:lineRule="auto"/>
        <w:rPr>
          <w:rFonts w:ascii="宋体" w:hAnsi="宋体"/>
          <w:color w:val="auto"/>
          <w:sz w:val="24"/>
        </w:rPr>
      </w:pPr>
      <w:r>
        <w:rPr>
          <w:rFonts w:ascii="宋体" w:hAnsi="宋体"/>
          <w:color w:val="auto"/>
          <w:sz w:val="24"/>
        </w:rPr>
        <w:t xml:space="preserve">                                </w:t>
      </w:r>
      <w:r>
        <w:rPr>
          <w:rFonts w:hint="eastAsia" w:ascii="宋体" w:hAnsi="宋体"/>
          <w:color w:val="auto"/>
          <w:sz w:val="24"/>
        </w:rPr>
        <w:t>全权代表（签字或盖章）：</w:t>
      </w:r>
      <w:r>
        <w:rPr>
          <w:rFonts w:ascii="宋体" w:hAnsi="宋体"/>
          <w:color w:val="auto"/>
          <w:sz w:val="24"/>
          <w:u w:val="single"/>
        </w:rPr>
        <w:t xml:space="preserve">          </w:t>
      </w:r>
      <w:r>
        <w:rPr>
          <w:rFonts w:ascii="宋体" w:hAnsi="宋体"/>
          <w:color w:val="auto"/>
          <w:sz w:val="24"/>
        </w:rPr>
        <w:t xml:space="preserve"> </w:t>
      </w:r>
    </w:p>
    <w:p>
      <w:pPr>
        <w:spacing w:line="360" w:lineRule="auto"/>
        <w:rPr>
          <w:rFonts w:ascii="宋体" w:hAnsi="宋体"/>
          <w:color w:val="auto"/>
          <w:sz w:val="24"/>
        </w:rPr>
      </w:pPr>
    </w:p>
    <w:p>
      <w:pPr>
        <w:spacing w:line="240" w:lineRule="atLeast"/>
        <w:rPr>
          <w:rFonts w:ascii="宋体"/>
          <w:color w:val="auto"/>
          <w:sz w:val="24"/>
        </w:rPr>
      </w:pPr>
      <w:r>
        <w:rPr>
          <w:rFonts w:ascii="宋体" w:hAnsi="宋体"/>
          <w:color w:val="auto"/>
          <w:sz w:val="24"/>
        </w:rPr>
        <w:t xml:space="preserve"> </w:t>
      </w:r>
    </w:p>
    <w:p>
      <w:pPr>
        <w:rPr>
          <w:rFonts w:ascii="宋体"/>
          <w:bCs/>
          <w:color w:val="auto"/>
          <w:sz w:val="28"/>
          <w:szCs w:val="28"/>
        </w:rPr>
      </w:pPr>
      <w:r>
        <w:rPr>
          <w:rFonts w:ascii="宋体"/>
          <w:color w:val="auto"/>
          <w:sz w:val="32"/>
        </w:rPr>
        <w:br w:type="page"/>
      </w:r>
      <w:r>
        <w:rPr>
          <w:rFonts w:hint="eastAsia" w:ascii="宋体" w:hAnsi="宋体"/>
          <w:bCs/>
          <w:color w:val="auto"/>
          <w:sz w:val="28"/>
          <w:szCs w:val="28"/>
        </w:rPr>
        <w:t>附件</w:t>
      </w:r>
      <w:r>
        <w:rPr>
          <w:rFonts w:ascii="宋体" w:hAnsi="宋体"/>
          <w:bCs/>
          <w:color w:val="auto"/>
          <w:sz w:val="28"/>
          <w:szCs w:val="28"/>
        </w:rPr>
        <w:t>3</w:t>
      </w:r>
      <w:r>
        <w:rPr>
          <w:rFonts w:hint="eastAsia" w:ascii="宋体" w:hAnsi="宋体"/>
          <w:bCs/>
          <w:color w:val="auto"/>
          <w:sz w:val="28"/>
          <w:szCs w:val="28"/>
        </w:rPr>
        <w:t>：</w:t>
      </w:r>
    </w:p>
    <w:p>
      <w:pPr>
        <w:jc w:val="center"/>
        <w:outlineLvl w:val="1"/>
        <w:rPr>
          <w:b/>
          <w:color w:val="auto"/>
          <w:sz w:val="28"/>
        </w:rPr>
      </w:pPr>
      <w:bookmarkStart w:id="47" w:name="_Toc25485"/>
      <w:bookmarkStart w:id="48" w:name="_Toc12847"/>
      <w:bookmarkStart w:id="49" w:name="_Toc7231"/>
      <w:r>
        <w:rPr>
          <w:rFonts w:hint="eastAsia"/>
          <w:b/>
          <w:color w:val="auto"/>
          <w:sz w:val="28"/>
        </w:rPr>
        <w:t>开标一览表</w:t>
      </w:r>
      <w:bookmarkEnd w:id="47"/>
      <w:bookmarkEnd w:id="48"/>
      <w:bookmarkEnd w:id="49"/>
    </w:p>
    <w:p>
      <w:pPr>
        <w:spacing w:beforeLines="100" w:afterLines="100"/>
        <w:rPr>
          <w:rFonts w:ascii="宋体"/>
          <w:color w:val="auto"/>
          <w:sz w:val="28"/>
          <w:szCs w:val="28"/>
        </w:rPr>
      </w:pPr>
      <w:r>
        <w:rPr>
          <w:rFonts w:hint="eastAsia"/>
          <w:color w:val="auto"/>
          <w:sz w:val="28"/>
          <w:szCs w:val="28"/>
        </w:rPr>
        <w:t>项目名称：</w:t>
      </w:r>
      <w:r>
        <w:rPr>
          <w:rFonts w:ascii="宋体"/>
          <w:color w:val="auto"/>
          <w:sz w:val="28"/>
          <w:szCs w:val="28"/>
          <w:u w:val="single"/>
        </w:rPr>
        <w:t xml:space="preserve">                             </w:t>
      </w:r>
      <w:r>
        <w:rPr>
          <w:rFonts w:hint="eastAsia"/>
          <w:color w:val="auto"/>
          <w:sz w:val="28"/>
          <w:szCs w:val="28"/>
        </w:rPr>
        <w:t>项目编号：</w:t>
      </w:r>
      <w:r>
        <w:rPr>
          <w:rFonts w:ascii="宋体"/>
          <w:color w:val="auto"/>
          <w:sz w:val="28"/>
          <w:szCs w:val="28"/>
          <w:u w:val="single"/>
        </w:rPr>
        <w:t xml:space="preserve">             </w:t>
      </w:r>
    </w:p>
    <w:p>
      <w:pPr>
        <w:pStyle w:val="159"/>
        <w:spacing w:line="360" w:lineRule="auto"/>
        <w:jc w:val="right"/>
        <w:rPr>
          <w:rFonts w:ascii="仿宋_GB2312" w:eastAsia="仿宋_GB2312"/>
          <w:color w:val="auto"/>
        </w:rPr>
      </w:pPr>
      <w:r>
        <w:rPr>
          <w:rFonts w:ascii="仿宋_GB2312" w:eastAsia="仿宋_GB2312"/>
          <w:color w:val="auto"/>
        </w:rPr>
        <w:t xml:space="preserve"> [</w:t>
      </w:r>
      <w:r>
        <w:rPr>
          <w:rFonts w:hint="eastAsia" w:ascii="仿宋_GB2312" w:eastAsia="仿宋_GB2312"/>
          <w:color w:val="auto"/>
        </w:rPr>
        <w:t>货币单位：人民币元</w:t>
      </w:r>
      <w:r>
        <w:rPr>
          <w:rFonts w:ascii="仿宋_GB2312" w:eastAsia="仿宋_GB2312"/>
          <w:color w:val="auto"/>
        </w:rPr>
        <w:t>]</w:t>
      </w:r>
    </w:p>
    <w:p>
      <w:pPr>
        <w:rPr>
          <w:color w:val="auto"/>
          <w:sz w:val="20"/>
          <w:szCs w:val="22"/>
        </w:rPr>
      </w:pPr>
    </w:p>
    <w:tbl>
      <w:tblPr>
        <w:tblStyle w:val="39"/>
        <w:tblW w:w="865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3547"/>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771" w:type="dxa"/>
            <w:vAlign w:val="center"/>
          </w:tcPr>
          <w:p>
            <w:pPr>
              <w:jc w:val="center"/>
              <w:rPr>
                <w:rFonts w:ascii="宋体"/>
                <w:b/>
                <w:bCs/>
                <w:color w:val="auto"/>
                <w:sz w:val="24"/>
                <w:szCs w:val="32"/>
              </w:rPr>
            </w:pPr>
            <w:r>
              <w:rPr>
                <w:rFonts w:hint="eastAsia" w:ascii="宋体" w:hAnsi="宋体"/>
                <w:b/>
                <w:bCs/>
                <w:color w:val="auto"/>
                <w:sz w:val="24"/>
                <w:szCs w:val="32"/>
                <w:lang w:eastAsia="zh-CN"/>
              </w:rPr>
              <w:t>投标</w:t>
            </w:r>
            <w:r>
              <w:rPr>
                <w:rFonts w:hint="eastAsia" w:ascii="宋体" w:hAnsi="宋体"/>
                <w:b/>
                <w:bCs/>
                <w:color w:val="auto"/>
                <w:sz w:val="24"/>
                <w:szCs w:val="32"/>
              </w:rPr>
              <w:t>总报价</w:t>
            </w:r>
          </w:p>
        </w:tc>
        <w:tc>
          <w:tcPr>
            <w:tcW w:w="3547" w:type="dxa"/>
            <w:vAlign w:val="center"/>
          </w:tcPr>
          <w:p>
            <w:pPr>
              <w:rPr>
                <w:rFonts w:ascii="宋体"/>
                <w:b/>
                <w:bCs/>
                <w:color w:val="auto"/>
                <w:sz w:val="24"/>
                <w:szCs w:val="32"/>
              </w:rPr>
            </w:pPr>
            <w:r>
              <w:rPr>
                <w:rFonts w:hint="eastAsia" w:ascii="宋体" w:hAnsi="宋体"/>
                <w:b/>
                <w:bCs/>
                <w:color w:val="auto"/>
                <w:sz w:val="24"/>
                <w:szCs w:val="32"/>
              </w:rPr>
              <w:t>大写：</w:t>
            </w:r>
          </w:p>
        </w:tc>
        <w:tc>
          <w:tcPr>
            <w:tcW w:w="2341" w:type="dxa"/>
            <w:vAlign w:val="center"/>
          </w:tcPr>
          <w:p>
            <w:pPr>
              <w:rPr>
                <w:rFonts w:ascii="宋体"/>
                <w:b/>
                <w:bCs/>
                <w:color w:val="auto"/>
                <w:sz w:val="24"/>
                <w:szCs w:val="32"/>
              </w:rPr>
            </w:pPr>
            <w:r>
              <w:rPr>
                <w:rFonts w:hint="eastAsia" w:ascii="宋体" w:hAnsi="宋体"/>
                <w:b/>
                <w:bCs/>
                <w:color w:val="auto"/>
                <w:sz w:val="24"/>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771" w:type="dxa"/>
            <w:vAlign w:val="center"/>
          </w:tcPr>
          <w:p>
            <w:pPr>
              <w:jc w:val="center"/>
              <w:rPr>
                <w:rFonts w:ascii="宋体"/>
                <w:color w:val="auto"/>
              </w:rPr>
            </w:pPr>
            <w:r>
              <w:rPr>
                <w:rFonts w:hint="eastAsia" w:ascii="宋体" w:hAnsi="宋体"/>
                <w:color w:val="auto"/>
              </w:rPr>
              <w:t>对报价另需要说明的问题</w:t>
            </w:r>
          </w:p>
        </w:tc>
        <w:tc>
          <w:tcPr>
            <w:tcW w:w="5888" w:type="dxa"/>
            <w:gridSpan w:val="2"/>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2771" w:type="dxa"/>
            <w:vAlign w:val="center"/>
          </w:tcPr>
          <w:p>
            <w:pPr>
              <w:jc w:val="center"/>
              <w:rPr>
                <w:rFonts w:ascii="宋体"/>
                <w:color w:val="auto"/>
              </w:rPr>
            </w:pPr>
            <w:r>
              <w:rPr>
                <w:rFonts w:hint="eastAsia" w:ascii="宋体" w:hAnsi="宋体"/>
                <w:color w:val="auto"/>
              </w:rPr>
              <w:t>对谈判文件有无疑议</w:t>
            </w:r>
          </w:p>
        </w:tc>
        <w:tc>
          <w:tcPr>
            <w:tcW w:w="5888" w:type="dxa"/>
            <w:gridSpan w:val="2"/>
            <w:vAlign w:val="center"/>
          </w:tcPr>
          <w:p>
            <w:pPr>
              <w:rPr>
                <w:rFonts w:ascii="宋体"/>
                <w:color w:val="auto"/>
              </w:rPr>
            </w:pPr>
          </w:p>
          <w:p>
            <w:pPr>
              <w:rPr>
                <w:rFonts w:ascii="宋体"/>
                <w:color w:val="auto"/>
              </w:rPr>
            </w:pPr>
          </w:p>
          <w:p>
            <w:pPr>
              <w:rPr>
                <w:rFonts w:ascii="宋体"/>
                <w:color w:val="auto"/>
              </w:rPr>
            </w:pPr>
          </w:p>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771" w:type="dxa"/>
            <w:vAlign w:val="center"/>
          </w:tcPr>
          <w:p>
            <w:pPr>
              <w:jc w:val="center"/>
              <w:rPr>
                <w:rFonts w:ascii="宋体"/>
                <w:color w:val="auto"/>
              </w:rPr>
            </w:pPr>
            <w:r>
              <w:rPr>
                <w:rFonts w:hint="eastAsia" w:ascii="宋体" w:hAnsi="宋体"/>
                <w:color w:val="auto"/>
              </w:rPr>
              <w:t>供应商需要说明的其他问题</w:t>
            </w:r>
          </w:p>
        </w:tc>
        <w:tc>
          <w:tcPr>
            <w:tcW w:w="5888" w:type="dxa"/>
            <w:gridSpan w:val="2"/>
            <w:vAlign w:val="center"/>
          </w:tcPr>
          <w:p>
            <w:pPr>
              <w:rPr>
                <w:rFonts w:ascii="宋体"/>
                <w:color w:val="auto"/>
              </w:rPr>
            </w:pPr>
          </w:p>
          <w:p>
            <w:pPr>
              <w:rPr>
                <w:rFonts w:ascii="宋体"/>
                <w:color w:val="auto"/>
              </w:rPr>
            </w:pPr>
          </w:p>
          <w:p>
            <w:pPr>
              <w:rPr>
                <w:rFonts w:ascii="宋体"/>
                <w:color w:val="auto"/>
              </w:rPr>
            </w:pPr>
          </w:p>
          <w:p>
            <w:pPr>
              <w:rPr>
                <w:rFonts w:ascii="宋体"/>
                <w:color w:val="auto"/>
              </w:rPr>
            </w:pPr>
          </w:p>
        </w:tc>
      </w:tr>
    </w:tbl>
    <w:p>
      <w:pPr>
        <w:spacing w:beforeLines="25"/>
        <w:rPr>
          <w:rFonts w:hint="eastAsia" w:ascii="宋体" w:eastAsia="宋体"/>
          <w:b/>
          <w:color w:val="auto"/>
          <w:szCs w:val="21"/>
          <w:lang w:eastAsia="zh-CN"/>
        </w:rPr>
      </w:pPr>
      <w:r>
        <w:rPr>
          <w:rFonts w:hint="eastAsia" w:ascii="宋体"/>
          <w:b/>
          <w:color w:val="auto"/>
          <w:szCs w:val="21"/>
        </w:rPr>
        <w:t>注：</w:t>
      </w:r>
      <w:r>
        <w:rPr>
          <w:rFonts w:ascii="宋体"/>
          <w:b/>
          <w:color w:val="auto"/>
          <w:szCs w:val="21"/>
        </w:rPr>
        <w:t>1</w:t>
      </w:r>
      <w:r>
        <w:rPr>
          <w:rFonts w:hint="eastAsia" w:ascii="宋体"/>
          <w:b/>
          <w:color w:val="auto"/>
          <w:szCs w:val="21"/>
        </w:rPr>
        <w:t>、所有价格应按“谈判文件”中规定的货币单位填写</w:t>
      </w:r>
      <w:r>
        <w:rPr>
          <w:rFonts w:hint="eastAsia" w:ascii="宋体"/>
          <w:b/>
          <w:color w:val="auto"/>
          <w:szCs w:val="21"/>
          <w:lang w:eastAsia="zh-CN"/>
        </w:rPr>
        <w:t>；</w:t>
      </w:r>
    </w:p>
    <w:p>
      <w:pPr>
        <w:spacing w:beforeLines="25"/>
        <w:rPr>
          <w:rFonts w:ascii="宋体"/>
          <w:b/>
          <w:color w:val="auto"/>
          <w:szCs w:val="21"/>
        </w:rPr>
      </w:pPr>
      <w:r>
        <w:rPr>
          <w:rFonts w:ascii="宋体"/>
          <w:b/>
          <w:color w:val="auto"/>
          <w:szCs w:val="21"/>
        </w:rPr>
        <w:t xml:space="preserve">    2</w:t>
      </w:r>
      <w:r>
        <w:rPr>
          <w:rFonts w:hint="eastAsia" w:ascii="宋体"/>
          <w:b/>
          <w:color w:val="auto"/>
          <w:szCs w:val="21"/>
        </w:rPr>
        <w:t>、</w:t>
      </w:r>
      <w:r>
        <w:rPr>
          <w:rFonts w:hint="eastAsia" w:ascii="宋体"/>
          <w:b/>
          <w:color w:val="auto"/>
          <w:szCs w:val="21"/>
          <w:lang w:eastAsia="zh-CN"/>
        </w:rPr>
        <w:t>投标总报价</w:t>
      </w:r>
      <w:r>
        <w:rPr>
          <w:rFonts w:hint="eastAsia" w:ascii="宋体"/>
          <w:b/>
          <w:color w:val="auto"/>
          <w:szCs w:val="21"/>
        </w:rPr>
        <w:t>应为以上各分项价格之和；</w:t>
      </w:r>
    </w:p>
    <w:p>
      <w:pPr>
        <w:spacing w:beforeLines="25"/>
        <w:ind w:firstLine="422" w:firstLineChars="200"/>
        <w:rPr>
          <w:rFonts w:ascii="宋体"/>
          <w:b/>
          <w:color w:val="auto"/>
          <w:szCs w:val="21"/>
        </w:rPr>
      </w:pPr>
      <w:r>
        <w:rPr>
          <w:rFonts w:ascii="宋体"/>
          <w:b/>
          <w:color w:val="auto"/>
          <w:szCs w:val="21"/>
        </w:rPr>
        <w:t>3</w:t>
      </w:r>
      <w:r>
        <w:rPr>
          <w:rFonts w:hint="eastAsia" w:ascii="宋体"/>
          <w:b/>
          <w:color w:val="auto"/>
          <w:szCs w:val="21"/>
        </w:rPr>
        <w:t>、此表应经法定代表人或经法定代表人委托人签名或盖章，并</w:t>
      </w:r>
      <w:r>
        <w:rPr>
          <w:rFonts w:hint="eastAsia" w:ascii="宋体" w:hAnsi="宋体"/>
          <w:b/>
          <w:color w:val="auto"/>
          <w:szCs w:val="21"/>
        </w:rPr>
        <w:t>加盖公章。</w:t>
      </w:r>
    </w:p>
    <w:p>
      <w:pPr>
        <w:spacing w:line="360" w:lineRule="auto"/>
        <w:ind w:left="-1100" w:leftChars="-524" w:firstLine="945" w:firstLineChars="450"/>
        <w:rPr>
          <w:rFonts w:ascii="宋体"/>
          <w:color w:val="auto"/>
        </w:rPr>
      </w:pPr>
    </w:p>
    <w:p>
      <w:pPr>
        <w:spacing w:line="360" w:lineRule="auto"/>
        <w:ind w:left="-1100" w:leftChars="-524" w:firstLine="1260" w:firstLineChars="450"/>
        <w:rPr>
          <w:rFonts w:ascii="宋体"/>
          <w:color w:val="auto"/>
          <w:sz w:val="28"/>
          <w:szCs w:val="28"/>
        </w:rPr>
      </w:pPr>
      <w:r>
        <w:rPr>
          <w:rFonts w:hint="eastAsia" w:ascii="宋体" w:hAnsi="宋体"/>
          <w:color w:val="auto"/>
          <w:sz w:val="28"/>
          <w:szCs w:val="28"/>
        </w:rPr>
        <w:t>供应商（盖章）：</w:t>
      </w:r>
      <w:r>
        <w:rPr>
          <w:rFonts w:ascii="宋体" w:hAnsi="宋体"/>
          <w:color w:val="auto"/>
          <w:sz w:val="28"/>
          <w:szCs w:val="28"/>
          <w:u w:val="single"/>
        </w:rPr>
        <w:t xml:space="preserve">                                           </w:t>
      </w:r>
      <w:r>
        <w:rPr>
          <w:rFonts w:ascii="宋体" w:hAnsi="宋体"/>
          <w:color w:val="auto"/>
          <w:sz w:val="28"/>
          <w:szCs w:val="28"/>
        </w:rPr>
        <w:t xml:space="preserve">  </w:t>
      </w:r>
    </w:p>
    <w:p>
      <w:pPr>
        <w:spacing w:line="360" w:lineRule="auto"/>
        <w:ind w:left="-1100" w:leftChars="-524" w:firstLine="1260" w:firstLineChars="450"/>
        <w:rPr>
          <w:rFonts w:ascii="宋体"/>
          <w:color w:val="auto"/>
          <w:sz w:val="28"/>
          <w:szCs w:val="28"/>
        </w:rPr>
      </w:pPr>
      <w:r>
        <w:rPr>
          <w:rFonts w:hint="eastAsia" w:ascii="宋体" w:hAnsi="宋体"/>
          <w:color w:val="auto"/>
          <w:sz w:val="28"/>
          <w:szCs w:val="28"/>
        </w:rPr>
        <w:t>法定代表人或被授权委托人（盖章或签字）：</w:t>
      </w:r>
      <w:r>
        <w:rPr>
          <w:rFonts w:ascii="宋体" w:hAnsi="宋体"/>
          <w:color w:val="auto"/>
          <w:sz w:val="28"/>
          <w:szCs w:val="28"/>
          <w:u w:val="single"/>
        </w:rPr>
        <w:t xml:space="preserve">                   </w:t>
      </w:r>
    </w:p>
    <w:p>
      <w:pPr>
        <w:spacing w:line="360" w:lineRule="auto"/>
        <w:ind w:left="-1100" w:leftChars="-524" w:firstLine="1260" w:firstLineChars="450"/>
        <w:rPr>
          <w:rFonts w:ascii="宋体"/>
          <w:color w:val="auto"/>
          <w:sz w:val="28"/>
          <w:szCs w:val="28"/>
        </w:rPr>
      </w:pPr>
      <w:r>
        <w:rPr>
          <w:rFonts w:hint="eastAsia" w:ascii="宋体" w:hAnsi="宋体"/>
          <w:color w:val="auto"/>
          <w:sz w:val="28"/>
          <w:szCs w:val="28"/>
        </w:rPr>
        <w:t>日</w:t>
      </w:r>
      <w:r>
        <w:rPr>
          <w:rFonts w:ascii="宋体" w:hAnsi="宋体"/>
          <w:color w:val="auto"/>
          <w:sz w:val="28"/>
          <w:szCs w:val="28"/>
        </w:rPr>
        <w:t xml:space="preserve">  </w:t>
      </w:r>
      <w:r>
        <w:rPr>
          <w:rFonts w:hint="eastAsia" w:ascii="宋体" w:hAnsi="宋体"/>
          <w:color w:val="auto"/>
          <w:sz w:val="28"/>
          <w:szCs w:val="28"/>
        </w:rPr>
        <w:t>期：</w:t>
      </w:r>
      <w:r>
        <w:rPr>
          <w:rFonts w:ascii="宋体" w:hAnsi="宋体"/>
          <w:color w:val="auto"/>
          <w:sz w:val="28"/>
          <w:szCs w:val="28"/>
          <w:u w:val="single"/>
        </w:rPr>
        <w:t xml:space="preserve">          </w:t>
      </w:r>
      <w:r>
        <w:rPr>
          <w:rFonts w:hint="eastAsia"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rPr>
        <w:t>日</w:t>
      </w:r>
    </w:p>
    <w:p>
      <w:pPr>
        <w:spacing w:line="360" w:lineRule="auto"/>
        <w:rPr>
          <w:rFonts w:ascii="宋体"/>
          <w:bCs/>
          <w:color w:val="auto"/>
          <w:sz w:val="28"/>
          <w:szCs w:val="28"/>
        </w:rPr>
      </w:pPr>
      <w:r>
        <w:rPr>
          <w:rFonts w:ascii="宋体"/>
          <w:bCs/>
          <w:color w:val="auto"/>
          <w:sz w:val="28"/>
          <w:szCs w:val="28"/>
        </w:rPr>
        <w:br w:type="page"/>
      </w:r>
      <w:r>
        <w:rPr>
          <w:rFonts w:hint="eastAsia" w:ascii="宋体" w:hAnsi="宋体"/>
          <w:bCs/>
          <w:color w:val="auto"/>
          <w:sz w:val="28"/>
          <w:szCs w:val="28"/>
        </w:rPr>
        <w:t>附件</w:t>
      </w:r>
      <w:r>
        <w:rPr>
          <w:rFonts w:ascii="宋体" w:hAnsi="宋体"/>
          <w:bCs/>
          <w:color w:val="auto"/>
          <w:sz w:val="28"/>
          <w:szCs w:val="28"/>
        </w:rPr>
        <w:t>4</w:t>
      </w:r>
      <w:r>
        <w:rPr>
          <w:rFonts w:hint="eastAsia" w:ascii="宋体" w:hAnsi="宋体"/>
          <w:bCs/>
          <w:color w:val="auto"/>
          <w:sz w:val="28"/>
          <w:szCs w:val="28"/>
        </w:rPr>
        <w:t>：</w:t>
      </w:r>
    </w:p>
    <w:p>
      <w:pPr>
        <w:jc w:val="center"/>
        <w:outlineLvl w:val="1"/>
        <w:rPr>
          <w:b/>
          <w:color w:val="auto"/>
          <w:sz w:val="28"/>
        </w:rPr>
      </w:pPr>
      <w:bookmarkStart w:id="50" w:name="_Toc26588"/>
      <w:bookmarkStart w:id="51" w:name="_Toc25504"/>
      <w:bookmarkStart w:id="52" w:name="_Toc2445"/>
      <w:r>
        <w:rPr>
          <w:rFonts w:hint="eastAsia"/>
          <w:b/>
          <w:color w:val="auto"/>
          <w:sz w:val="28"/>
        </w:rPr>
        <w:t>投标报价表（货物类）</w:t>
      </w:r>
      <w:bookmarkEnd w:id="50"/>
      <w:bookmarkEnd w:id="51"/>
      <w:bookmarkEnd w:id="52"/>
    </w:p>
    <w:p>
      <w:pPr>
        <w:spacing w:beforeLines="100" w:afterLines="100" w:line="360" w:lineRule="exact"/>
        <w:rPr>
          <w:rFonts w:ascii="宋体"/>
          <w:color w:val="auto"/>
          <w:sz w:val="28"/>
          <w:szCs w:val="28"/>
        </w:rPr>
      </w:pPr>
      <w:r>
        <w:rPr>
          <w:rFonts w:hint="eastAsia"/>
          <w:color w:val="auto"/>
          <w:sz w:val="28"/>
          <w:szCs w:val="28"/>
        </w:rPr>
        <w:t>项目名称：</w:t>
      </w:r>
      <w:r>
        <w:rPr>
          <w:rFonts w:ascii="宋体" w:hAnsi="宋体"/>
          <w:color w:val="auto"/>
          <w:sz w:val="28"/>
          <w:szCs w:val="28"/>
          <w:u w:val="single"/>
        </w:rPr>
        <w:t xml:space="preserve">                   </w:t>
      </w:r>
      <w:r>
        <w:rPr>
          <w:rFonts w:hint="eastAsia" w:ascii="宋体" w:hAnsi="宋体"/>
          <w:color w:val="auto"/>
          <w:sz w:val="28"/>
          <w:szCs w:val="28"/>
        </w:rPr>
        <w:t>供应商名称（章）：</w:t>
      </w:r>
      <w:r>
        <w:rPr>
          <w:rFonts w:ascii="宋体" w:hAnsi="宋体"/>
          <w:color w:val="auto"/>
          <w:sz w:val="28"/>
          <w:szCs w:val="28"/>
          <w:u w:val="single"/>
        </w:rPr>
        <w:t xml:space="preserve">                   </w:t>
      </w:r>
    </w:p>
    <w:p>
      <w:pPr>
        <w:spacing w:beforeLines="100" w:afterLines="100" w:line="360" w:lineRule="exact"/>
        <w:rPr>
          <w:rFonts w:ascii="宋体"/>
          <w:color w:val="auto"/>
          <w:sz w:val="28"/>
          <w:szCs w:val="28"/>
        </w:rPr>
      </w:pPr>
      <w:r>
        <w:rPr>
          <w:rFonts w:hint="eastAsia" w:ascii="宋体" w:hAnsi="宋体"/>
          <w:color w:val="auto"/>
          <w:sz w:val="28"/>
          <w:szCs w:val="28"/>
        </w:rPr>
        <w:t>法定代表人或被授权委托人签字或盖章：</w:t>
      </w:r>
      <w:r>
        <w:rPr>
          <w:rFonts w:ascii="宋体" w:hAnsi="宋体"/>
          <w:color w:val="auto"/>
          <w:sz w:val="28"/>
          <w:szCs w:val="28"/>
          <w:u w:val="single"/>
        </w:rPr>
        <w:t xml:space="preserve">               </w:t>
      </w:r>
    </w:p>
    <w:tbl>
      <w:tblPr>
        <w:tblStyle w:val="39"/>
        <w:tblpPr w:leftFromText="180" w:rightFromText="180" w:vertAnchor="text" w:horzAnchor="page" w:tblpX="1533" w:tblpY="605"/>
        <w:tblOverlap w:val="never"/>
        <w:tblW w:w="9353" w:type="dxa"/>
        <w:tblInd w:w="0" w:type="dxa"/>
        <w:tblLayout w:type="fixed"/>
        <w:tblCellMar>
          <w:top w:w="0" w:type="dxa"/>
          <w:left w:w="42" w:type="dxa"/>
          <w:bottom w:w="0" w:type="dxa"/>
          <w:right w:w="42" w:type="dxa"/>
        </w:tblCellMar>
      </w:tblPr>
      <w:tblGrid>
        <w:gridCol w:w="574"/>
        <w:gridCol w:w="1934"/>
        <w:gridCol w:w="56"/>
        <w:gridCol w:w="847"/>
        <w:gridCol w:w="743"/>
        <w:gridCol w:w="862"/>
        <w:gridCol w:w="812"/>
        <w:gridCol w:w="793"/>
        <w:gridCol w:w="930"/>
        <w:gridCol w:w="1102"/>
        <w:gridCol w:w="700"/>
      </w:tblGrid>
      <w:tr>
        <w:tblPrEx>
          <w:tblCellMar>
            <w:top w:w="0" w:type="dxa"/>
            <w:left w:w="42" w:type="dxa"/>
            <w:bottom w:w="0" w:type="dxa"/>
            <w:right w:w="42" w:type="dxa"/>
          </w:tblCellMar>
        </w:tblPrEx>
        <w:trPr>
          <w:cantSplit/>
          <w:trHeight w:val="710" w:hRule="atLeast"/>
        </w:trPr>
        <w:tc>
          <w:tcPr>
            <w:tcW w:w="2508" w:type="dxa"/>
            <w:gridSpan w:val="2"/>
            <w:tcBorders>
              <w:top w:val="single" w:color="auto" w:sz="6" w:space="0"/>
              <w:left w:val="single" w:color="auto" w:sz="6" w:space="0"/>
              <w:bottom w:val="single" w:color="auto" w:sz="4" w:space="0"/>
              <w:right w:val="single" w:color="auto" w:sz="4" w:space="0"/>
            </w:tcBorders>
            <w:vAlign w:val="center"/>
          </w:tcPr>
          <w:p>
            <w:pPr>
              <w:spacing w:line="360" w:lineRule="exact"/>
              <w:jc w:val="center"/>
              <w:rPr>
                <w:rFonts w:ascii="宋体"/>
                <w:b/>
                <w:color w:val="auto"/>
                <w:szCs w:val="21"/>
              </w:rPr>
            </w:pPr>
            <w:r>
              <w:rPr>
                <w:rFonts w:hint="eastAsia" w:ascii="宋体" w:hAnsi="宋体"/>
                <w:b/>
                <w:color w:val="auto"/>
                <w:szCs w:val="21"/>
                <w:lang w:eastAsia="zh-CN"/>
              </w:rPr>
              <w:t>投标总报价</w:t>
            </w:r>
            <w:r>
              <w:rPr>
                <w:rFonts w:hint="eastAsia" w:ascii="宋体" w:hAnsi="宋体"/>
                <w:b/>
                <w:color w:val="auto"/>
                <w:szCs w:val="21"/>
              </w:rPr>
              <w:t>（大写）</w:t>
            </w:r>
          </w:p>
        </w:tc>
        <w:tc>
          <w:tcPr>
            <w:tcW w:w="6845" w:type="dxa"/>
            <w:gridSpan w:val="9"/>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宋体"/>
                <w:color w:val="auto"/>
                <w:szCs w:val="21"/>
              </w:rPr>
            </w:pPr>
          </w:p>
        </w:tc>
      </w:tr>
      <w:tr>
        <w:tblPrEx>
          <w:tblCellMar>
            <w:top w:w="0" w:type="dxa"/>
            <w:left w:w="42" w:type="dxa"/>
            <w:bottom w:w="0" w:type="dxa"/>
            <w:right w:w="42" w:type="dxa"/>
          </w:tblCellMar>
        </w:tblPrEx>
        <w:trPr>
          <w:cantSplit/>
          <w:trHeight w:val="711" w:hRule="atLeast"/>
        </w:trPr>
        <w:tc>
          <w:tcPr>
            <w:tcW w:w="2508"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宋体"/>
                <w:b/>
                <w:color w:val="auto"/>
                <w:szCs w:val="21"/>
              </w:rPr>
            </w:pPr>
            <w:r>
              <w:rPr>
                <w:rFonts w:hint="eastAsia" w:ascii="宋体" w:hAnsi="宋体"/>
                <w:b/>
                <w:color w:val="auto"/>
                <w:szCs w:val="21"/>
                <w:lang w:eastAsia="zh-CN"/>
              </w:rPr>
              <w:t>投标总报价</w:t>
            </w:r>
            <w:r>
              <w:rPr>
                <w:rFonts w:hint="eastAsia" w:ascii="宋体" w:hAnsi="宋体"/>
                <w:b/>
                <w:color w:val="auto"/>
                <w:szCs w:val="21"/>
              </w:rPr>
              <w:t>（小写）</w:t>
            </w:r>
          </w:p>
        </w:tc>
        <w:tc>
          <w:tcPr>
            <w:tcW w:w="6845" w:type="dxa"/>
            <w:gridSpan w:val="9"/>
            <w:tcBorders>
              <w:top w:val="single" w:color="auto" w:sz="4" w:space="0"/>
              <w:left w:val="single" w:color="auto" w:sz="4" w:space="0"/>
              <w:bottom w:val="single" w:color="auto" w:sz="6" w:space="0"/>
              <w:right w:val="single" w:color="auto" w:sz="6" w:space="0"/>
            </w:tcBorders>
            <w:vAlign w:val="center"/>
          </w:tcPr>
          <w:p>
            <w:pPr>
              <w:jc w:val="center"/>
              <w:rPr>
                <w:rFonts w:ascii="宋体"/>
                <w:color w:val="auto"/>
                <w:szCs w:val="21"/>
              </w:rPr>
            </w:pPr>
          </w:p>
        </w:tc>
      </w:tr>
      <w:tr>
        <w:tblPrEx>
          <w:tblCellMar>
            <w:top w:w="0" w:type="dxa"/>
            <w:left w:w="42" w:type="dxa"/>
            <w:bottom w:w="0" w:type="dxa"/>
            <w:right w:w="42" w:type="dxa"/>
          </w:tblCellMar>
        </w:tblPrEx>
        <w:trPr>
          <w:cantSplit/>
          <w:trHeight w:val="592" w:hRule="atLeast"/>
        </w:trPr>
        <w:tc>
          <w:tcPr>
            <w:tcW w:w="9353" w:type="dxa"/>
            <w:gridSpan w:val="11"/>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r>
              <w:rPr>
                <w:rFonts w:hint="eastAsia" w:ascii="宋体" w:hAnsi="宋体"/>
                <w:color w:val="auto"/>
                <w:szCs w:val="21"/>
              </w:rPr>
              <w:t>设备部分</w:t>
            </w:r>
          </w:p>
        </w:tc>
      </w:tr>
      <w:tr>
        <w:tblPrEx>
          <w:tblCellMar>
            <w:top w:w="0" w:type="dxa"/>
            <w:left w:w="42" w:type="dxa"/>
            <w:bottom w:w="0" w:type="dxa"/>
            <w:right w:w="42" w:type="dxa"/>
          </w:tblCellMar>
        </w:tblPrEx>
        <w:trPr>
          <w:cantSplit/>
          <w:trHeight w:val="1202"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r>
              <w:rPr>
                <w:rFonts w:hint="eastAsia" w:ascii="宋体" w:hAnsi="宋体"/>
                <w:color w:val="auto"/>
                <w:szCs w:val="21"/>
              </w:rPr>
              <w:t>编号</w:t>
            </w: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r>
              <w:rPr>
                <w:rFonts w:hint="eastAsia" w:ascii="宋体" w:hAnsi="宋体"/>
                <w:color w:val="auto"/>
                <w:szCs w:val="21"/>
              </w:rPr>
              <w:t>设备名称</w:t>
            </w:r>
          </w:p>
        </w:tc>
        <w:tc>
          <w:tcPr>
            <w:tcW w:w="847"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r>
              <w:rPr>
                <w:rFonts w:hint="eastAsia" w:ascii="宋体" w:hAnsi="宋体"/>
                <w:color w:val="auto"/>
                <w:szCs w:val="21"/>
              </w:rPr>
              <w:t>品牌</w:t>
            </w:r>
          </w:p>
          <w:p>
            <w:pPr>
              <w:jc w:val="center"/>
              <w:rPr>
                <w:rFonts w:ascii="宋体"/>
                <w:color w:val="auto"/>
                <w:szCs w:val="21"/>
              </w:rPr>
            </w:pPr>
            <w:r>
              <w:rPr>
                <w:rFonts w:hint="eastAsia" w:ascii="宋体" w:hAnsi="宋体"/>
                <w:color w:val="auto"/>
                <w:szCs w:val="21"/>
              </w:rPr>
              <w:t>型号</w:t>
            </w:r>
            <w:r>
              <w:rPr>
                <w:rFonts w:ascii="宋体" w:hAnsi="宋体"/>
                <w:color w:val="auto"/>
                <w:szCs w:val="21"/>
              </w:rPr>
              <w:t xml:space="preserve"> </w:t>
            </w:r>
          </w:p>
        </w:tc>
        <w:tc>
          <w:tcPr>
            <w:tcW w:w="743"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r>
              <w:rPr>
                <w:rFonts w:hint="eastAsia" w:ascii="宋体" w:hAnsi="宋体"/>
                <w:color w:val="auto"/>
                <w:szCs w:val="21"/>
              </w:rPr>
              <w:t>配置</w:t>
            </w:r>
          </w:p>
        </w:tc>
        <w:tc>
          <w:tcPr>
            <w:tcW w:w="862" w:type="dxa"/>
            <w:tcBorders>
              <w:top w:val="single" w:color="auto" w:sz="6" w:space="0"/>
              <w:left w:val="single" w:color="auto" w:sz="6" w:space="0"/>
              <w:bottom w:val="single" w:color="auto" w:sz="6" w:space="0"/>
              <w:right w:val="single" w:color="auto" w:sz="4" w:space="0"/>
            </w:tcBorders>
            <w:vAlign w:val="center"/>
          </w:tcPr>
          <w:p>
            <w:pPr>
              <w:jc w:val="center"/>
              <w:rPr>
                <w:rFonts w:ascii="宋体"/>
                <w:color w:val="auto"/>
                <w:szCs w:val="21"/>
              </w:rPr>
            </w:pPr>
            <w:r>
              <w:rPr>
                <w:rFonts w:hint="eastAsia" w:ascii="宋体" w:hAnsi="宋体"/>
                <w:color w:val="auto"/>
                <w:szCs w:val="21"/>
              </w:rPr>
              <w:t>数</w:t>
            </w:r>
          </w:p>
          <w:p>
            <w:pPr>
              <w:jc w:val="center"/>
              <w:rPr>
                <w:rFonts w:ascii="宋体"/>
                <w:color w:val="auto"/>
                <w:szCs w:val="21"/>
              </w:rPr>
            </w:pPr>
            <w:r>
              <w:rPr>
                <w:rFonts w:hint="eastAsia" w:ascii="宋体" w:hAnsi="宋体"/>
                <w:color w:val="auto"/>
                <w:szCs w:val="21"/>
              </w:rPr>
              <w:t>量</w:t>
            </w:r>
          </w:p>
        </w:tc>
        <w:tc>
          <w:tcPr>
            <w:tcW w:w="812" w:type="dxa"/>
            <w:tcBorders>
              <w:top w:val="single" w:color="auto" w:sz="6" w:space="0"/>
              <w:left w:val="single" w:color="auto" w:sz="4" w:space="0"/>
              <w:bottom w:val="single" w:color="auto" w:sz="6" w:space="0"/>
              <w:right w:val="single" w:color="auto" w:sz="4" w:space="0"/>
            </w:tcBorders>
            <w:vAlign w:val="center"/>
          </w:tcPr>
          <w:p>
            <w:pPr>
              <w:jc w:val="center"/>
              <w:rPr>
                <w:rFonts w:ascii="宋体"/>
                <w:color w:val="auto"/>
                <w:szCs w:val="21"/>
              </w:rPr>
            </w:pPr>
            <w:r>
              <w:rPr>
                <w:rFonts w:hint="eastAsia" w:ascii="宋体" w:hAnsi="宋体"/>
                <w:color w:val="auto"/>
                <w:szCs w:val="21"/>
              </w:rPr>
              <w:t>单</w:t>
            </w:r>
          </w:p>
          <w:p>
            <w:pPr>
              <w:jc w:val="center"/>
              <w:rPr>
                <w:rFonts w:ascii="宋体"/>
                <w:color w:val="auto"/>
                <w:szCs w:val="21"/>
              </w:rPr>
            </w:pPr>
            <w:r>
              <w:rPr>
                <w:rFonts w:hint="eastAsia" w:ascii="宋体" w:hAnsi="宋体"/>
                <w:color w:val="auto"/>
                <w:szCs w:val="21"/>
              </w:rPr>
              <w:t>价</w:t>
            </w:r>
          </w:p>
        </w:tc>
        <w:tc>
          <w:tcPr>
            <w:tcW w:w="793" w:type="dxa"/>
            <w:tcBorders>
              <w:top w:val="single" w:color="auto" w:sz="6" w:space="0"/>
              <w:left w:val="single" w:color="auto" w:sz="4" w:space="0"/>
              <w:bottom w:val="single" w:color="auto" w:sz="6" w:space="0"/>
              <w:right w:val="single" w:color="auto" w:sz="4" w:space="0"/>
            </w:tcBorders>
            <w:vAlign w:val="center"/>
          </w:tcPr>
          <w:p>
            <w:pPr>
              <w:jc w:val="center"/>
              <w:rPr>
                <w:rFonts w:ascii="宋体"/>
                <w:color w:val="auto"/>
                <w:szCs w:val="21"/>
              </w:rPr>
            </w:pPr>
            <w:r>
              <w:rPr>
                <w:rFonts w:hint="eastAsia" w:ascii="宋体" w:hAnsi="宋体"/>
                <w:color w:val="auto"/>
                <w:szCs w:val="21"/>
              </w:rPr>
              <w:t>总</w:t>
            </w:r>
          </w:p>
          <w:p>
            <w:pPr>
              <w:jc w:val="center"/>
              <w:rPr>
                <w:rFonts w:ascii="宋体"/>
                <w:color w:val="auto"/>
                <w:szCs w:val="21"/>
              </w:rPr>
            </w:pPr>
            <w:r>
              <w:rPr>
                <w:rFonts w:hint="eastAsia" w:ascii="宋体" w:hAnsi="宋体"/>
                <w:color w:val="auto"/>
                <w:szCs w:val="21"/>
              </w:rPr>
              <w:t>价</w:t>
            </w:r>
          </w:p>
        </w:tc>
        <w:tc>
          <w:tcPr>
            <w:tcW w:w="930" w:type="dxa"/>
            <w:tcBorders>
              <w:top w:val="single" w:color="auto" w:sz="6" w:space="0"/>
              <w:left w:val="single" w:color="auto" w:sz="4" w:space="0"/>
              <w:bottom w:val="single" w:color="auto" w:sz="6" w:space="0"/>
              <w:right w:val="single" w:color="auto" w:sz="4" w:space="0"/>
            </w:tcBorders>
            <w:vAlign w:val="center"/>
          </w:tcPr>
          <w:p>
            <w:pPr>
              <w:jc w:val="center"/>
              <w:rPr>
                <w:rFonts w:ascii="宋体"/>
                <w:color w:val="auto"/>
                <w:szCs w:val="21"/>
              </w:rPr>
            </w:pPr>
            <w:r>
              <w:rPr>
                <w:rFonts w:hint="eastAsia" w:ascii="宋体" w:hAnsi="宋体"/>
                <w:color w:val="auto"/>
                <w:szCs w:val="21"/>
              </w:rPr>
              <w:t>保修期</w:t>
            </w:r>
          </w:p>
        </w:tc>
        <w:tc>
          <w:tcPr>
            <w:tcW w:w="1102" w:type="dxa"/>
            <w:tcBorders>
              <w:top w:val="single" w:color="auto" w:sz="6" w:space="0"/>
              <w:left w:val="single" w:color="auto" w:sz="4" w:space="0"/>
              <w:bottom w:val="single" w:color="auto" w:sz="6" w:space="0"/>
              <w:right w:val="single" w:color="auto" w:sz="4" w:space="0"/>
            </w:tcBorders>
            <w:vAlign w:val="center"/>
          </w:tcPr>
          <w:p>
            <w:pPr>
              <w:jc w:val="center"/>
              <w:rPr>
                <w:rFonts w:ascii="宋体"/>
                <w:color w:val="auto"/>
                <w:szCs w:val="21"/>
              </w:rPr>
            </w:pPr>
            <w:r>
              <w:rPr>
                <w:rFonts w:hint="eastAsia" w:ascii="宋体" w:hAnsi="宋体"/>
                <w:color w:val="auto"/>
                <w:szCs w:val="21"/>
              </w:rPr>
              <w:t>节能产品证书编号</w:t>
            </w:r>
          </w:p>
        </w:tc>
        <w:tc>
          <w:tcPr>
            <w:tcW w:w="700" w:type="dxa"/>
            <w:tcBorders>
              <w:top w:val="single" w:color="auto" w:sz="6" w:space="0"/>
              <w:left w:val="single" w:color="auto" w:sz="4" w:space="0"/>
              <w:bottom w:val="single" w:color="auto" w:sz="6" w:space="0"/>
              <w:right w:val="single" w:color="auto" w:sz="6" w:space="0"/>
            </w:tcBorders>
            <w:vAlign w:val="center"/>
          </w:tcPr>
          <w:p>
            <w:pPr>
              <w:jc w:val="center"/>
              <w:rPr>
                <w:rFonts w:ascii="宋体"/>
                <w:color w:val="auto"/>
                <w:szCs w:val="21"/>
              </w:rPr>
            </w:pPr>
            <w:r>
              <w:rPr>
                <w:rFonts w:hint="eastAsia" w:ascii="宋体" w:hAnsi="宋体"/>
                <w:color w:val="auto"/>
                <w:szCs w:val="21"/>
              </w:rPr>
              <w:t>节能产品证书有效截止日期</w:t>
            </w:r>
          </w:p>
        </w:tc>
      </w:tr>
      <w:tr>
        <w:tblPrEx>
          <w:tblCellMar>
            <w:top w:w="0" w:type="dxa"/>
            <w:left w:w="42" w:type="dxa"/>
            <w:bottom w:w="0" w:type="dxa"/>
            <w:right w:w="42" w:type="dxa"/>
          </w:tblCellMar>
        </w:tblPrEx>
        <w:trPr>
          <w:cantSplit/>
          <w:trHeight w:val="393"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743" w:type="dxa"/>
            <w:tcBorders>
              <w:top w:val="single" w:color="auto" w:sz="6" w:space="0"/>
              <w:left w:val="single" w:color="auto" w:sz="6" w:space="0"/>
              <w:bottom w:val="single" w:color="auto" w:sz="6" w:space="0"/>
              <w:right w:val="single" w:color="auto" w:sz="6" w:space="0"/>
            </w:tcBorders>
            <w:vAlign w:val="center"/>
          </w:tcPr>
          <w:p>
            <w:pPr>
              <w:jc w:val="right"/>
              <w:rPr>
                <w:rFonts w:ascii="宋体"/>
                <w:color w:val="auto"/>
                <w:szCs w:val="21"/>
              </w:rPr>
            </w:pPr>
          </w:p>
        </w:tc>
        <w:tc>
          <w:tcPr>
            <w:tcW w:w="862"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szCs w:val="21"/>
              </w:rPr>
            </w:pPr>
          </w:p>
        </w:tc>
        <w:tc>
          <w:tcPr>
            <w:tcW w:w="812"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793"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9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1102"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70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r>
      <w:tr>
        <w:tblPrEx>
          <w:tblCellMar>
            <w:top w:w="0" w:type="dxa"/>
            <w:left w:w="42" w:type="dxa"/>
            <w:bottom w:w="0" w:type="dxa"/>
            <w:right w:w="42" w:type="dxa"/>
          </w:tblCellMar>
        </w:tblPrEx>
        <w:trPr>
          <w:cantSplit/>
          <w:trHeight w:val="535"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743" w:type="dxa"/>
            <w:tcBorders>
              <w:top w:val="single" w:color="auto" w:sz="6" w:space="0"/>
              <w:left w:val="single" w:color="auto" w:sz="6" w:space="0"/>
              <w:bottom w:val="single" w:color="auto" w:sz="6" w:space="0"/>
              <w:right w:val="single" w:color="auto" w:sz="6" w:space="0"/>
            </w:tcBorders>
            <w:vAlign w:val="center"/>
          </w:tcPr>
          <w:p>
            <w:pPr>
              <w:jc w:val="right"/>
              <w:rPr>
                <w:rFonts w:ascii="宋体"/>
                <w:color w:val="auto"/>
                <w:szCs w:val="21"/>
              </w:rPr>
            </w:pPr>
          </w:p>
        </w:tc>
        <w:tc>
          <w:tcPr>
            <w:tcW w:w="862"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szCs w:val="21"/>
              </w:rPr>
            </w:pPr>
          </w:p>
        </w:tc>
        <w:tc>
          <w:tcPr>
            <w:tcW w:w="812"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793"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9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1102"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c>
          <w:tcPr>
            <w:tcW w:w="70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szCs w:val="21"/>
              </w:rPr>
            </w:pPr>
          </w:p>
        </w:tc>
      </w:tr>
      <w:tr>
        <w:tblPrEx>
          <w:tblCellMar>
            <w:top w:w="0" w:type="dxa"/>
            <w:left w:w="42" w:type="dxa"/>
            <w:bottom w:w="0" w:type="dxa"/>
            <w:right w:w="42" w:type="dxa"/>
          </w:tblCellMar>
        </w:tblPrEx>
        <w:trPr>
          <w:cantSplit/>
          <w:trHeight w:val="347"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r>
              <w:rPr>
                <w:rFonts w:hint="eastAsia" w:ascii="宋体" w:hAnsi="宋体"/>
                <w:color w:val="auto"/>
                <w:szCs w:val="21"/>
              </w:rPr>
              <w:t>设备部分总价</w:t>
            </w:r>
          </w:p>
        </w:tc>
        <w:tc>
          <w:tcPr>
            <w:tcW w:w="6789" w:type="dxa"/>
            <w:gridSpan w:val="8"/>
            <w:tcBorders>
              <w:top w:val="single" w:color="auto" w:sz="6" w:space="0"/>
              <w:left w:val="single" w:color="auto" w:sz="6" w:space="0"/>
              <w:bottom w:val="single" w:color="auto" w:sz="6" w:space="0"/>
              <w:right w:val="single" w:color="auto" w:sz="4" w:space="0"/>
            </w:tcBorders>
            <w:vAlign w:val="center"/>
          </w:tcPr>
          <w:p>
            <w:pPr>
              <w:jc w:val="right"/>
              <w:rPr>
                <w:rFonts w:ascii="宋体"/>
                <w:color w:val="auto"/>
                <w:szCs w:val="21"/>
              </w:rPr>
            </w:pPr>
          </w:p>
        </w:tc>
      </w:tr>
      <w:tr>
        <w:tblPrEx>
          <w:tblCellMar>
            <w:top w:w="0" w:type="dxa"/>
            <w:left w:w="42" w:type="dxa"/>
            <w:bottom w:w="0" w:type="dxa"/>
            <w:right w:w="42" w:type="dxa"/>
          </w:tblCellMar>
        </w:tblPrEx>
        <w:trPr>
          <w:cantSplit/>
          <w:trHeight w:val="614" w:hRule="atLeast"/>
        </w:trPr>
        <w:tc>
          <w:tcPr>
            <w:tcW w:w="9353" w:type="dxa"/>
            <w:gridSpan w:val="11"/>
            <w:tcBorders>
              <w:top w:val="single" w:color="auto" w:sz="4" w:space="0"/>
              <w:left w:val="single" w:color="auto" w:sz="6" w:space="0"/>
              <w:bottom w:val="single" w:color="auto" w:sz="6" w:space="0"/>
              <w:right w:val="single" w:color="auto" w:sz="4" w:space="0"/>
            </w:tcBorders>
            <w:vAlign w:val="center"/>
          </w:tcPr>
          <w:p>
            <w:pPr>
              <w:pStyle w:val="113"/>
              <w:autoSpaceDE/>
              <w:autoSpaceDN/>
              <w:adjustRightInd/>
              <w:snapToGrid/>
              <w:spacing w:beforeLines="50" w:afterLines="50" w:line="240" w:lineRule="auto"/>
              <w:rPr>
                <w:rFonts w:ascii="宋体"/>
                <w:color w:val="auto"/>
                <w:spacing w:val="0"/>
                <w:kern w:val="2"/>
                <w:sz w:val="21"/>
                <w:szCs w:val="21"/>
              </w:rPr>
            </w:pPr>
            <w:r>
              <w:rPr>
                <w:rFonts w:hint="eastAsia" w:ascii="宋体" w:hAnsi="宋体"/>
                <w:color w:val="auto"/>
                <w:spacing w:val="0"/>
                <w:kern w:val="2"/>
                <w:sz w:val="21"/>
                <w:szCs w:val="21"/>
              </w:rPr>
              <w:t>其它部分</w:t>
            </w:r>
          </w:p>
        </w:tc>
      </w:tr>
      <w:tr>
        <w:tblPrEx>
          <w:tblCellMar>
            <w:top w:w="0" w:type="dxa"/>
            <w:left w:w="42" w:type="dxa"/>
            <w:bottom w:w="0" w:type="dxa"/>
            <w:right w:w="42" w:type="dxa"/>
          </w:tblCellMar>
        </w:tblPrEx>
        <w:trPr>
          <w:cantSplit/>
          <w:trHeight w:val="412"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6789" w:type="dxa"/>
            <w:gridSpan w:val="8"/>
            <w:tcBorders>
              <w:top w:val="single" w:color="auto" w:sz="6" w:space="0"/>
              <w:left w:val="single" w:color="auto" w:sz="6" w:space="0"/>
              <w:bottom w:val="single" w:color="auto" w:sz="6" w:space="0"/>
              <w:right w:val="single" w:color="auto" w:sz="4" w:space="0"/>
            </w:tcBorders>
            <w:vAlign w:val="center"/>
          </w:tcPr>
          <w:p>
            <w:pPr>
              <w:jc w:val="center"/>
              <w:rPr>
                <w:rFonts w:ascii="宋体"/>
                <w:color w:val="auto"/>
                <w:szCs w:val="21"/>
              </w:rPr>
            </w:pPr>
          </w:p>
        </w:tc>
      </w:tr>
      <w:tr>
        <w:tblPrEx>
          <w:tblCellMar>
            <w:top w:w="0" w:type="dxa"/>
            <w:left w:w="42" w:type="dxa"/>
            <w:bottom w:w="0" w:type="dxa"/>
            <w:right w:w="42" w:type="dxa"/>
          </w:tblCellMar>
        </w:tblPrEx>
        <w:trPr>
          <w:cantSplit/>
          <w:trHeight w:val="347"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6789" w:type="dxa"/>
            <w:gridSpan w:val="8"/>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r>
      <w:tr>
        <w:tblPrEx>
          <w:tblCellMar>
            <w:top w:w="0" w:type="dxa"/>
            <w:left w:w="42" w:type="dxa"/>
            <w:bottom w:w="0" w:type="dxa"/>
            <w:right w:w="42" w:type="dxa"/>
          </w:tblCellMar>
        </w:tblPrEx>
        <w:trPr>
          <w:cantSplit/>
          <w:trHeight w:val="347"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6789" w:type="dxa"/>
            <w:gridSpan w:val="8"/>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r>
      <w:tr>
        <w:tblPrEx>
          <w:tblCellMar>
            <w:top w:w="0" w:type="dxa"/>
            <w:left w:w="42" w:type="dxa"/>
            <w:bottom w:w="0" w:type="dxa"/>
            <w:right w:w="42" w:type="dxa"/>
          </w:tblCellMar>
        </w:tblPrEx>
        <w:trPr>
          <w:cantSplit/>
          <w:trHeight w:val="347"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6789" w:type="dxa"/>
            <w:gridSpan w:val="8"/>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r>
      <w:tr>
        <w:tblPrEx>
          <w:tblCellMar>
            <w:top w:w="0" w:type="dxa"/>
            <w:left w:w="42" w:type="dxa"/>
            <w:bottom w:w="0" w:type="dxa"/>
            <w:right w:w="42" w:type="dxa"/>
          </w:tblCellMar>
        </w:tblPrEx>
        <w:trPr>
          <w:cantSplit/>
          <w:trHeight w:val="375" w:hRule="atLeast"/>
        </w:trPr>
        <w:tc>
          <w:tcPr>
            <w:tcW w:w="574" w:type="dxa"/>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19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c>
          <w:tcPr>
            <w:tcW w:w="6789" w:type="dxa"/>
            <w:gridSpan w:val="8"/>
            <w:tcBorders>
              <w:top w:val="single" w:color="auto" w:sz="6" w:space="0"/>
              <w:left w:val="single" w:color="auto" w:sz="6" w:space="0"/>
              <w:bottom w:val="single" w:color="auto" w:sz="6" w:space="0"/>
              <w:right w:val="single" w:color="auto" w:sz="6" w:space="0"/>
            </w:tcBorders>
            <w:vAlign w:val="center"/>
          </w:tcPr>
          <w:p>
            <w:pPr>
              <w:jc w:val="center"/>
              <w:rPr>
                <w:rFonts w:ascii="宋体"/>
                <w:color w:val="auto"/>
                <w:szCs w:val="21"/>
              </w:rPr>
            </w:pPr>
          </w:p>
        </w:tc>
      </w:tr>
    </w:tbl>
    <w:p>
      <w:pPr>
        <w:spacing w:beforeLines="25"/>
        <w:ind w:firstLine="5880" w:firstLineChars="2450"/>
        <w:rPr>
          <w:rFonts w:ascii="宋体"/>
          <w:color w:val="auto"/>
          <w:sz w:val="28"/>
          <w:szCs w:val="28"/>
        </w:rPr>
      </w:pPr>
      <w:r>
        <w:rPr>
          <w:rFonts w:ascii="仿宋_GB2312" w:eastAsia="仿宋_GB2312"/>
          <w:color w:val="auto"/>
          <w:sz w:val="24"/>
        </w:rPr>
        <w:t>[</w:t>
      </w:r>
      <w:r>
        <w:rPr>
          <w:rFonts w:hint="eastAsia" w:ascii="仿宋_GB2312" w:eastAsia="仿宋_GB2312"/>
          <w:color w:val="auto"/>
          <w:sz w:val="24"/>
        </w:rPr>
        <w:t>货币单位：人民币元</w:t>
      </w:r>
      <w:r>
        <w:rPr>
          <w:rFonts w:ascii="仿宋_GB2312" w:eastAsia="仿宋_GB2312"/>
          <w:color w:val="auto"/>
          <w:sz w:val="24"/>
        </w:rPr>
        <w:t>]</w:t>
      </w:r>
    </w:p>
    <w:p>
      <w:pPr>
        <w:spacing w:beforeLines="25"/>
        <w:rPr>
          <w:rFonts w:hint="eastAsia" w:ascii="宋体" w:eastAsia="宋体"/>
          <w:b/>
          <w:color w:val="auto"/>
          <w:szCs w:val="21"/>
          <w:lang w:eastAsia="zh-CN"/>
        </w:rPr>
      </w:pPr>
      <w:r>
        <w:rPr>
          <w:rFonts w:hint="eastAsia" w:ascii="宋体" w:hAnsi="宋体"/>
          <w:b/>
          <w:color w:val="auto"/>
          <w:szCs w:val="21"/>
        </w:rPr>
        <w:t>注：</w:t>
      </w:r>
      <w:r>
        <w:rPr>
          <w:rFonts w:ascii="宋体" w:hAnsi="宋体"/>
          <w:b/>
          <w:color w:val="auto"/>
          <w:szCs w:val="21"/>
        </w:rPr>
        <w:t>1</w:t>
      </w:r>
      <w:r>
        <w:rPr>
          <w:rFonts w:hint="eastAsia" w:ascii="宋体" w:hAnsi="宋体"/>
          <w:b/>
          <w:color w:val="auto"/>
          <w:szCs w:val="21"/>
        </w:rPr>
        <w:t>、所有价格应按“谈判文件”中规定的货币单位填写</w:t>
      </w:r>
      <w:r>
        <w:rPr>
          <w:rFonts w:hint="eastAsia" w:ascii="宋体" w:hAnsi="宋体"/>
          <w:b/>
          <w:color w:val="auto"/>
          <w:szCs w:val="21"/>
          <w:lang w:eastAsia="zh-CN"/>
        </w:rPr>
        <w:t>；</w:t>
      </w:r>
    </w:p>
    <w:p>
      <w:pPr>
        <w:spacing w:beforeLines="25"/>
        <w:rPr>
          <w:rFonts w:ascii="宋体"/>
          <w:b/>
          <w:color w:val="auto"/>
          <w:szCs w:val="21"/>
        </w:rPr>
      </w:pPr>
      <w:r>
        <w:rPr>
          <w:rFonts w:ascii="宋体" w:hAnsi="宋体"/>
          <w:b/>
          <w:color w:val="auto"/>
          <w:szCs w:val="21"/>
        </w:rPr>
        <w:t xml:space="preserve">    2</w:t>
      </w:r>
      <w:r>
        <w:rPr>
          <w:rFonts w:hint="eastAsia" w:ascii="宋体" w:hAnsi="宋体"/>
          <w:b/>
          <w:color w:val="auto"/>
          <w:szCs w:val="21"/>
        </w:rPr>
        <w:t>、投标总价应为各分项价格之和；</w:t>
      </w:r>
    </w:p>
    <w:p>
      <w:pPr>
        <w:spacing w:beforeLines="25"/>
        <w:ind w:firstLine="422" w:firstLineChars="200"/>
        <w:rPr>
          <w:rFonts w:ascii="宋体"/>
          <w:b/>
          <w:color w:val="auto"/>
          <w:szCs w:val="21"/>
        </w:rPr>
      </w:pPr>
      <w:r>
        <w:rPr>
          <w:rFonts w:ascii="宋体" w:hAnsi="宋体"/>
          <w:b/>
          <w:color w:val="auto"/>
          <w:szCs w:val="21"/>
        </w:rPr>
        <w:t>3</w:t>
      </w:r>
      <w:r>
        <w:rPr>
          <w:rFonts w:hint="eastAsia" w:ascii="宋体" w:hAnsi="宋体"/>
          <w:b/>
          <w:color w:val="auto"/>
          <w:szCs w:val="21"/>
        </w:rPr>
        <w:t>、此表应经法定代表人或法定代表人委托人签名或盖章，并加盖公章；</w:t>
      </w:r>
    </w:p>
    <w:p>
      <w:pPr>
        <w:spacing w:beforeLines="25"/>
        <w:ind w:firstLine="422" w:firstLineChars="200"/>
        <w:rPr>
          <w:rFonts w:hint="eastAsia" w:ascii="宋体" w:hAnsi="宋体"/>
          <w:b/>
          <w:color w:val="auto"/>
          <w:szCs w:val="21"/>
        </w:rPr>
      </w:pPr>
      <w:r>
        <w:rPr>
          <w:rFonts w:ascii="宋体" w:hAnsi="宋体"/>
          <w:b/>
          <w:color w:val="auto"/>
          <w:szCs w:val="21"/>
        </w:rPr>
        <w:t>4</w:t>
      </w:r>
      <w:r>
        <w:rPr>
          <w:rFonts w:hint="eastAsia" w:ascii="宋体" w:hAnsi="宋体"/>
          <w:b/>
          <w:color w:val="auto"/>
          <w:szCs w:val="21"/>
        </w:rPr>
        <w:t>、此表可根据谈判文件调整内容。</w:t>
      </w:r>
    </w:p>
    <w:p>
      <w:pPr>
        <w:spacing w:beforeLines="25"/>
        <w:ind w:firstLine="422" w:firstLineChars="200"/>
        <w:rPr>
          <w:rFonts w:ascii="宋体"/>
          <w:b/>
          <w:color w:val="auto"/>
          <w:szCs w:val="21"/>
        </w:rPr>
      </w:pPr>
    </w:p>
    <w:p>
      <w:pPr>
        <w:pStyle w:val="58"/>
        <w:rPr>
          <w:color w:val="auto"/>
        </w:rPr>
      </w:pPr>
    </w:p>
    <w:p>
      <w:pPr>
        <w:pStyle w:val="58"/>
        <w:rPr>
          <w:color w:val="auto"/>
        </w:rPr>
      </w:pPr>
    </w:p>
    <w:p>
      <w:pPr>
        <w:rPr>
          <w:rFonts w:hint="eastAsia" w:ascii="宋体" w:hAnsi="宋体"/>
          <w:color w:val="auto"/>
          <w:sz w:val="28"/>
          <w:szCs w:val="28"/>
        </w:rPr>
      </w:pPr>
      <w:r>
        <w:rPr>
          <w:rFonts w:hint="eastAsia" w:ascii="宋体" w:hAnsi="宋体"/>
          <w:color w:val="auto"/>
          <w:sz w:val="28"/>
          <w:szCs w:val="28"/>
        </w:rPr>
        <w:t>附件</w:t>
      </w:r>
      <w:r>
        <w:rPr>
          <w:rFonts w:ascii="宋体" w:hAnsi="宋体"/>
          <w:color w:val="auto"/>
          <w:sz w:val="28"/>
          <w:szCs w:val="28"/>
        </w:rPr>
        <w:t>5</w:t>
      </w:r>
      <w:r>
        <w:rPr>
          <w:rFonts w:hint="eastAsia" w:ascii="宋体" w:hAnsi="宋体"/>
          <w:color w:val="auto"/>
          <w:sz w:val="28"/>
          <w:szCs w:val="28"/>
        </w:rPr>
        <w:t>：</w:t>
      </w:r>
    </w:p>
    <w:p>
      <w:pPr>
        <w:jc w:val="center"/>
        <w:outlineLvl w:val="1"/>
        <w:rPr>
          <w:rFonts w:ascii="宋体"/>
          <w:b/>
          <w:bCs w:val="0"/>
          <w:color w:val="auto"/>
          <w:sz w:val="28"/>
          <w:szCs w:val="28"/>
        </w:rPr>
      </w:pPr>
      <w:bookmarkStart w:id="53" w:name="_Toc1603"/>
      <w:bookmarkStart w:id="54" w:name="_Toc2454"/>
      <w:r>
        <w:rPr>
          <w:rFonts w:hint="eastAsia" w:ascii="宋体" w:hAnsi="宋体"/>
          <w:b/>
          <w:bCs w:val="0"/>
          <w:color w:val="auto"/>
          <w:sz w:val="28"/>
          <w:szCs w:val="28"/>
        </w:rPr>
        <w:t>货物或服务方案描述</w:t>
      </w:r>
      <w:bookmarkEnd w:id="53"/>
      <w:bookmarkEnd w:id="54"/>
    </w:p>
    <w:p>
      <w:pPr>
        <w:spacing w:beforeLines="25"/>
        <w:ind w:firstLine="420" w:firstLineChars="150"/>
        <w:rPr>
          <w:rFonts w:ascii="宋体"/>
          <w:color w:val="auto"/>
          <w:sz w:val="28"/>
          <w:szCs w:val="28"/>
        </w:rPr>
      </w:pPr>
      <w:r>
        <w:rPr>
          <w:rFonts w:hint="eastAsia" w:ascii="宋体" w:hAnsi="宋体"/>
          <w:color w:val="auto"/>
          <w:sz w:val="28"/>
          <w:szCs w:val="28"/>
        </w:rPr>
        <w:t>注：必须说明以下情况：</w:t>
      </w:r>
    </w:p>
    <w:p>
      <w:pPr>
        <w:spacing w:beforeLines="25"/>
        <w:ind w:firstLine="420" w:firstLineChars="150"/>
        <w:rPr>
          <w:rFonts w:ascii="宋体"/>
          <w:color w:val="auto"/>
          <w:sz w:val="28"/>
          <w:szCs w:val="28"/>
        </w:rPr>
      </w:pPr>
      <w:r>
        <w:rPr>
          <w:rFonts w:ascii="宋体" w:hAnsi="宋体"/>
          <w:color w:val="auto"/>
          <w:sz w:val="28"/>
          <w:szCs w:val="28"/>
        </w:rPr>
        <w:t>1</w:t>
      </w:r>
      <w:r>
        <w:rPr>
          <w:rFonts w:hint="eastAsia" w:ascii="宋体" w:hAnsi="宋体"/>
          <w:color w:val="auto"/>
          <w:sz w:val="28"/>
          <w:szCs w:val="28"/>
        </w:rPr>
        <w:t>、供应商按采购文件规定提交服务方案，其中涉及货物的应提供货物的详细技术参数、配置以及货物的性能、使用条件等资料；</w:t>
      </w:r>
    </w:p>
    <w:p>
      <w:pPr>
        <w:spacing w:beforeLines="25"/>
        <w:ind w:firstLine="420" w:firstLineChars="150"/>
        <w:rPr>
          <w:rFonts w:ascii="宋体"/>
          <w:color w:val="auto"/>
          <w:sz w:val="28"/>
          <w:szCs w:val="28"/>
        </w:rPr>
      </w:pPr>
      <w:r>
        <w:rPr>
          <w:rFonts w:ascii="宋体" w:hAnsi="宋体"/>
          <w:color w:val="auto"/>
          <w:sz w:val="28"/>
          <w:szCs w:val="28"/>
        </w:rPr>
        <w:t>2</w:t>
      </w:r>
      <w:r>
        <w:rPr>
          <w:rFonts w:hint="eastAsia" w:ascii="宋体" w:hAnsi="宋体"/>
          <w:color w:val="auto"/>
          <w:sz w:val="28"/>
          <w:szCs w:val="28"/>
        </w:rPr>
        <w:t>、以上内容可用表格形式说明，也可用文字形式说明。</w:t>
      </w:r>
    </w:p>
    <w:p>
      <w:pPr>
        <w:rPr>
          <w:rFonts w:ascii="宋体"/>
          <w:bCs/>
          <w:color w:val="auto"/>
          <w:sz w:val="28"/>
          <w:szCs w:val="28"/>
        </w:rPr>
      </w:pPr>
      <w:r>
        <w:rPr>
          <w:rFonts w:ascii="宋体"/>
          <w:color w:val="auto"/>
          <w:szCs w:val="21"/>
        </w:rPr>
        <w:br w:type="page"/>
      </w:r>
      <w:r>
        <w:rPr>
          <w:rFonts w:hint="eastAsia" w:ascii="宋体" w:hAnsi="宋体"/>
          <w:bCs/>
          <w:color w:val="auto"/>
          <w:sz w:val="28"/>
          <w:szCs w:val="28"/>
        </w:rPr>
        <w:t>附件</w:t>
      </w:r>
      <w:r>
        <w:rPr>
          <w:rFonts w:ascii="宋体" w:hAnsi="宋体"/>
          <w:bCs/>
          <w:color w:val="auto"/>
          <w:sz w:val="28"/>
          <w:szCs w:val="28"/>
        </w:rPr>
        <w:t>6.1</w:t>
      </w:r>
      <w:r>
        <w:rPr>
          <w:rFonts w:hint="eastAsia" w:ascii="宋体" w:hAnsi="宋体"/>
          <w:bCs/>
          <w:color w:val="auto"/>
          <w:sz w:val="28"/>
          <w:szCs w:val="28"/>
        </w:rPr>
        <w:t>：</w:t>
      </w:r>
    </w:p>
    <w:p>
      <w:pPr>
        <w:spacing w:before="78" w:line="360" w:lineRule="auto"/>
        <w:jc w:val="center"/>
        <w:outlineLvl w:val="1"/>
        <w:rPr>
          <w:rFonts w:ascii="宋体"/>
          <w:b/>
          <w:color w:val="auto"/>
          <w:sz w:val="28"/>
        </w:rPr>
      </w:pPr>
      <w:bookmarkStart w:id="55" w:name="_Toc24871"/>
      <w:bookmarkStart w:id="56" w:name="_Toc24874"/>
      <w:r>
        <w:rPr>
          <w:rFonts w:hint="eastAsia" w:ascii="宋体" w:hAnsi="宋体"/>
          <w:b/>
          <w:color w:val="auto"/>
          <w:sz w:val="28"/>
        </w:rPr>
        <w:t>商务条款偏离表</w:t>
      </w:r>
      <w:bookmarkEnd w:id="55"/>
      <w:bookmarkEnd w:id="56"/>
    </w:p>
    <w:p>
      <w:pPr>
        <w:pStyle w:val="21"/>
        <w:spacing w:line="240" w:lineRule="atLeast"/>
        <w:ind w:left="1080" w:leftChars="257" w:hanging="540"/>
        <w:rPr>
          <w:rFonts w:ascii="仿宋_GB2312" w:eastAsia="仿宋_GB2312"/>
          <w:color w:val="auto"/>
          <w:sz w:val="24"/>
        </w:rPr>
      </w:pPr>
    </w:p>
    <w:p>
      <w:pPr>
        <w:pStyle w:val="21"/>
        <w:spacing w:line="240" w:lineRule="atLeast"/>
        <w:ind w:left="1080" w:leftChars="257" w:hanging="540"/>
        <w:rPr>
          <w:rFonts w:ascii="仿宋_GB2312" w:eastAsia="仿宋_GB2312"/>
          <w:color w:val="auto"/>
          <w:sz w:val="24"/>
        </w:rPr>
      </w:pPr>
    </w:p>
    <w:p>
      <w:pPr>
        <w:pStyle w:val="21"/>
        <w:spacing w:line="240" w:lineRule="atLeast"/>
        <w:ind w:left="1080" w:leftChars="257" w:hanging="540"/>
        <w:rPr>
          <w:rFonts w:ascii="仿宋_GB2312" w:eastAsia="仿宋_GB2312"/>
          <w:color w:val="auto"/>
          <w:sz w:val="24"/>
        </w:rPr>
      </w:pPr>
      <w:r>
        <w:rPr>
          <w:rFonts w:hint="eastAsia" w:ascii="仿宋_GB2312" w:eastAsia="仿宋_GB2312"/>
          <w:color w:val="auto"/>
          <w:sz w:val="24"/>
        </w:rPr>
        <w:t>项目名称</w:t>
      </w:r>
      <w:r>
        <w:rPr>
          <w:rFonts w:ascii="仿宋_GB2312" w:eastAsia="仿宋_GB2312"/>
          <w:color w:val="auto"/>
          <w:sz w:val="24"/>
        </w:rPr>
        <w:t>:</w:t>
      </w:r>
      <w:r>
        <w:rPr>
          <w:rFonts w:ascii="仿宋_GB2312" w:hAnsi="宋体"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项目编号</w:t>
      </w:r>
      <w:r>
        <w:rPr>
          <w:rFonts w:ascii="仿宋_GB2312" w:eastAsia="仿宋_GB2312"/>
          <w:color w:val="auto"/>
          <w:sz w:val="24"/>
        </w:rPr>
        <w:t>:</w:t>
      </w:r>
      <w:r>
        <w:rPr>
          <w:rFonts w:ascii="仿宋_GB2312" w:hAnsi="宋体" w:eastAsia="仿宋_GB2312"/>
          <w:color w:val="auto"/>
          <w:sz w:val="24"/>
          <w:u w:val="single"/>
        </w:rPr>
        <w:t xml:space="preserve">               </w:t>
      </w:r>
      <w:r>
        <w:rPr>
          <w:rFonts w:ascii="仿宋_GB2312" w:eastAsia="仿宋_GB2312"/>
          <w:color w:val="auto"/>
          <w:sz w:val="24"/>
        </w:rPr>
        <w:t xml:space="preserve">  </w:t>
      </w:r>
    </w:p>
    <w:p>
      <w:pPr>
        <w:pStyle w:val="21"/>
        <w:spacing w:line="240" w:lineRule="atLeast"/>
        <w:ind w:left="1080" w:leftChars="257" w:hanging="540"/>
        <w:rPr>
          <w:rFonts w:ascii="仿宋_GB2312" w:eastAsia="仿宋_GB2312"/>
          <w:color w:val="auto"/>
          <w:sz w:val="24"/>
        </w:rPr>
      </w:pPr>
      <w:r>
        <w:rPr>
          <w:rFonts w:ascii="仿宋_GB2312" w:eastAsia="仿宋_GB2312"/>
          <w:color w:val="auto"/>
          <w:sz w:val="24"/>
        </w:rPr>
        <w:t xml:space="preserve">         </w:t>
      </w:r>
    </w:p>
    <w:tbl>
      <w:tblPr>
        <w:tblStyle w:val="39"/>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697"/>
        <w:gridCol w:w="2157"/>
        <w:gridCol w:w="2157"/>
        <w:gridCol w:w="1079"/>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序号</w:t>
            </w:r>
          </w:p>
        </w:tc>
        <w:tc>
          <w:tcPr>
            <w:tcW w:w="1697" w:type="dxa"/>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招标文件条款号</w:t>
            </w:r>
          </w:p>
        </w:tc>
        <w:tc>
          <w:tcPr>
            <w:tcW w:w="2157" w:type="dxa"/>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招标文件的商务条款</w:t>
            </w:r>
          </w:p>
        </w:tc>
        <w:tc>
          <w:tcPr>
            <w:tcW w:w="2157" w:type="dxa"/>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投标文件的商务条款</w:t>
            </w:r>
          </w:p>
        </w:tc>
        <w:tc>
          <w:tcPr>
            <w:tcW w:w="1079" w:type="dxa"/>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偏离</w:t>
            </w:r>
          </w:p>
        </w:tc>
        <w:tc>
          <w:tcPr>
            <w:tcW w:w="809" w:type="dxa"/>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jc w:val="center"/>
              <w:rPr>
                <w:rFonts w:ascii="仿宋_GB2312" w:eastAsia="仿宋_GB2312"/>
                <w:color w:val="auto"/>
                <w:sz w:val="24"/>
              </w:rPr>
            </w:pPr>
          </w:p>
        </w:tc>
        <w:tc>
          <w:tcPr>
            <w:tcW w:w="2157" w:type="dxa"/>
          </w:tcPr>
          <w:p>
            <w:pPr>
              <w:pStyle w:val="21"/>
              <w:spacing w:line="240" w:lineRule="atLeast"/>
              <w:ind w:left="1080" w:leftChars="257" w:hanging="540"/>
              <w:jc w:val="center"/>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2" w:type="dxa"/>
          </w:tcPr>
          <w:p>
            <w:pPr>
              <w:pStyle w:val="21"/>
              <w:spacing w:line="240" w:lineRule="atLeast"/>
              <w:ind w:left="1080" w:leftChars="257" w:hanging="540"/>
              <w:rPr>
                <w:rFonts w:ascii="仿宋_GB2312" w:eastAsia="仿宋_GB2312"/>
                <w:color w:val="auto"/>
                <w:sz w:val="24"/>
              </w:rPr>
            </w:pPr>
          </w:p>
        </w:tc>
        <w:tc>
          <w:tcPr>
            <w:tcW w:w="169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2157" w:type="dxa"/>
          </w:tcPr>
          <w:p>
            <w:pPr>
              <w:pStyle w:val="21"/>
              <w:spacing w:line="240" w:lineRule="atLeast"/>
              <w:ind w:left="1080" w:leftChars="257" w:hanging="540"/>
              <w:rPr>
                <w:rFonts w:ascii="仿宋_GB2312" w:eastAsia="仿宋_GB2312"/>
                <w:color w:val="auto"/>
                <w:sz w:val="24"/>
              </w:rPr>
            </w:pPr>
          </w:p>
        </w:tc>
        <w:tc>
          <w:tcPr>
            <w:tcW w:w="1079" w:type="dxa"/>
          </w:tcPr>
          <w:p>
            <w:pPr>
              <w:pStyle w:val="21"/>
              <w:spacing w:line="240" w:lineRule="atLeast"/>
              <w:ind w:left="1080" w:leftChars="257" w:hanging="540"/>
              <w:rPr>
                <w:rFonts w:ascii="仿宋_GB2312" w:eastAsia="仿宋_GB2312"/>
                <w:color w:val="auto"/>
                <w:sz w:val="24"/>
              </w:rPr>
            </w:pPr>
          </w:p>
        </w:tc>
        <w:tc>
          <w:tcPr>
            <w:tcW w:w="809" w:type="dxa"/>
          </w:tcPr>
          <w:p>
            <w:pPr>
              <w:pStyle w:val="21"/>
              <w:spacing w:line="240" w:lineRule="atLeast"/>
              <w:ind w:left="1080" w:leftChars="257" w:hanging="540"/>
              <w:rPr>
                <w:rFonts w:ascii="仿宋_GB2312" w:eastAsia="仿宋_GB2312"/>
                <w:color w:val="auto"/>
                <w:sz w:val="24"/>
              </w:rPr>
            </w:pPr>
          </w:p>
        </w:tc>
      </w:tr>
    </w:tbl>
    <w:p>
      <w:pPr>
        <w:pStyle w:val="21"/>
        <w:spacing w:line="360" w:lineRule="auto"/>
        <w:ind w:firstLine="105" w:firstLineChars="50"/>
        <w:rPr>
          <w:rFonts w:hAnsi="宋体"/>
          <w:b/>
          <w:color w:val="auto"/>
          <w:szCs w:val="21"/>
        </w:rPr>
      </w:pPr>
      <w:r>
        <w:rPr>
          <w:rFonts w:hint="eastAsia" w:hAnsi="宋体"/>
          <w:b/>
          <w:color w:val="auto"/>
          <w:szCs w:val="21"/>
        </w:rPr>
        <w:t>注：投标方若不填写，则视为完全响应采购文件要求。</w:t>
      </w:r>
    </w:p>
    <w:p>
      <w:pPr>
        <w:pStyle w:val="21"/>
        <w:spacing w:line="240" w:lineRule="atLeast"/>
        <w:ind w:left="1080" w:leftChars="257" w:hanging="540"/>
        <w:rPr>
          <w:rFonts w:ascii="仿宋_GB2312" w:eastAsia="仿宋_GB2312"/>
          <w:color w:val="auto"/>
          <w:sz w:val="24"/>
        </w:rPr>
      </w:pPr>
    </w:p>
    <w:p>
      <w:pPr>
        <w:pStyle w:val="21"/>
        <w:spacing w:line="360" w:lineRule="auto"/>
        <w:ind w:left="1079" w:leftChars="257" w:hanging="539"/>
        <w:rPr>
          <w:rFonts w:ascii="仿宋_GB2312" w:eastAsia="仿宋_GB2312"/>
          <w:color w:val="auto"/>
          <w:sz w:val="24"/>
        </w:rPr>
      </w:pPr>
      <w:r>
        <w:rPr>
          <w:rFonts w:hint="eastAsia" w:ascii="仿宋_GB2312" w:eastAsia="仿宋_GB2312"/>
          <w:color w:val="auto"/>
          <w:sz w:val="24"/>
        </w:rPr>
        <w:t>法定代表人或其委托代理人签字或盖章</w:t>
      </w:r>
      <w:r>
        <w:rPr>
          <w:rFonts w:ascii="仿宋_GB2312" w:eastAsia="仿宋_GB2312"/>
          <w:color w:val="auto"/>
          <w:sz w:val="24"/>
        </w:rPr>
        <w:t>:</w:t>
      </w:r>
      <w:r>
        <w:rPr>
          <w:rFonts w:ascii="仿宋_GB2312" w:hAnsi="宋体" w:eastAsia="仿宋_GB2312"/>
          <w:color w:val="auto"/>
          <w:sz w:val="24"/>
          <w:u w:val="single"/>
        </w:rPr>
        <w:tab/>
      </w:r>
      <w:r>
        <w:rPr>
          <w:rFonts w:ascii="仿宋_GB2312" w:hAnsi="宋体" w:eastAsia="仿宋_GB2312"/>
          <w:color w:val="auto"/>
          <w:sz w:val="24"/>
          <w:u w:val="single"/>
        </w:rPr>
        <w:t xml:space="preserve">                </w:t>
      </w:r>
    </w:p>
    <w:p>
      <w:pPr>
        <w:pStyle w:val="21"/>
        <w:tabs>
          <w:tab w:val="left" w:pos="5370"/>
        </w:tabs>
        <w:spacing w:line="360" w:lineRule="auto"/>
        <w:ind w:left="1079" w:leftChars="257" w:hanging="539"/>
        <w:rPr>
          <w:rFonts w:ascii="仿宋_GB2312" w:hAnsi="宋体" w:eastAsia="仿宋_GB2312"/>
          <w:color w:val="auto"/>
          <w:sz w:val="24"/>
          <w:u w:val="single"/>
        </w:rPr>
      </w:pPr>
      <w:r>
        <w:rPr>
          <w:rFonts w:hint="eastAsia" w:ascii="仿宋_GB2312" w:hAnsi="宋体" w:eastAsia="仿宋_GB2312"/>
          <w:color w:val="auto"/>
          <w:sz w:val="24"/>
        </w:rPr>
        <w:t>投标人</w:t>
      </w:r>
      <w:r>
        <w:rPr>
          <w:rFonts w:ascii="仿宋_GB2312" w:hAnsi="宋体" w:eastAsia="仿宋_GB2312"/>
          <w:color w:val="auto"/>
          <w:sz w:val="24"/>
        </w:rPr>
        <w:t>(</w:t>
      </w:r>
      <w:r>
        <w:rPr>
          <w:rFonts w:hint="eastAsia" w:ascii="仿宋_GB2312" w:hAnsi="宋体" w:eastAsia="仿宋_GB2312"/>
          <w:color w:val="auto"/>
          <w:sz w:val="24"/>
        </w:rPr>
        <w:t>盖单位章</w:t>
      </w:r>
      <w:r>
        <w:rPr>
          <w:rFonts w:ascii="仿宋_GB2312" w:hAnsi="宋体" w:eastAsia="仿宋_GB2312"/>
          <w:color w:val="auto"/>
          <w:sz w:val="24"/>
        </w:rPr>
        <w:t>):</w:t>
      </w:r>
      <w:r>
        <w:rPr>
          <w:rFonts w:ascii="仿宋_GB2312" w:hAnsi="宋体" w:eastAsia="仿宋_GB2312"/>
          <w:color w:val="auto"/>
          <w:sz w:val="24"/>
          <w:u w:val="single"/>
        </w:rPr>
        <w:tab/>
      </w:r>
      <w:r>
        <w:rPr>
          <w:rFonts w:ascii="仿宋_GB2312" w:hAnsi="宋体" w:eastAsia="仿宋_GB2312"/>
          <w:color w:val="auto"/>
          <w:sz w:val="24"/>
          <w:u w:val="single"/>
        </w:rPr>
        <w:t xml:space="preserve">             </w:t>
      </w:r>
    </w:p>
    <w:p>
      <w:pPr>
        <w:pStyle w:val="21"/>
        <w:jc w:val="center"/>
        <w:rPr>
          <w:bCs/>
          <w:color w:val="auto"/>
          <w:sz w:val="30"/>
        </w:rPr>
      </w:pPr>
    </w:p>
    <w:p>
      <w:pPr>
        <w:pStyle w:val="21"/>
        <w:jc w:val="center"/>
        <w:rPr>
          <w:bCs/>
          <w:color w:val="auto"/>
          <w:sz w:val="30"/>
        </w:rPr>
      </w:pPr>
    </w:p>
    <w:p>
      <w:pPr>
        <w:rPr>
          <w:rFonts w:ascii="宋体"/>
          <w:bCs/>
          <w:color w:val="auto"/>
          <w:sz w:val="28"/>
          <w:szCs w:val="28"/>
        </w:rPr>
      </w:pPr>
      <w:r>
        <w:rPr>
          <w:rFonts w:hint="eastAsia" w:ascii="宋体" w:hAnsi="宋体"/>
          <w:bCs/>
          <w:color w:val="auto"/>
          <w:sz w:val="28"/>
          <w:szCs w:val="28"/>
        </w:rPr>
        <w:t>附件</w:t>
      </w:r>
      <w:r>
        <w:rPr>
          <w:rFonts w:ascii="宋体" w:hAnsi="宋体"/>
          <w:bCs/>
          <w:color w:val="auto"/>
          <w:sz w:val="28"/>
          <w:szCs w:val="28"/>
        </w:rPr>
        <w:t>6.2</w:t>
      </w:r>
      <w:r>
        <w:rPr>
          <w:rFonts w:hint="eastAsia" w:ascii="宋体" w:hAnsi="宋体"/>
          <w:bCs/>
          <w:color w:val="auto"/>
          <w:sz w:val="28"/>
          <w:szCs w:val="28"/>
        </w:rPr>
        <w:t>：</w:t>
      </w:r>
    </w:p>
    <w:p>
      <w:pPr>
        <w:spacing w:before="78" w:line="360" w:lineRule="auto"/>
        <w:jc w:val="center"/>
        <w:outlineLvl w:val="1"/>
        <w:rPr>
          <w:rFonts w:ascii="宋体"/>
          <w:b/>
          <w:color w:val="auto"/>
          <w:sz w:val="28"/>
        </w:rPr>
      </w:pPr>
      <w:bookmarkStart w:id="57" w:name="_Toc4353"/>
      <w:bookmarkStart w:id="58" w:name="_Toc1244"/>
      <w:r>
        <w:rPr>
          <w:rFonts w:hint="eastAsia" w:ascii="宋体" w:hAnsi="宋体"/>
          <w:b/>
          <w:color w:val="auto"/>
          <w:sz w:val="28"/>
          <w:lang w:eastAsia="zh-CN"/>
        </w:rPr>
        <w:t>采购需求</w:t>
      </w:r>
      <w:r>
        <w:rPr>
          <w:rFonts w:hint="eastAsia" w:ascii="宋体" w:hAnsi="宋体"/>
          <w:b/>
          <w:color w:val="auto"/>
          <w:sz w:val="28"/>
        </w:rPr>
        <w:t>偏离表</w:t>
      </w:r>
      <w:bookmarkEnd w:id="57"/>
      <w:bookmarkEnd w:id="58"/>
    </w:p>
    <w:p>
      <w:pPr>
        <w:pStyle w:val="21"/>
        <w:spacing w:line="240" w:lineRule="atLeast"/>
        <w:ind w:left="1080" w:leftChars="257" w:hanging="540"/>
        <w:rPr>
          <w:rFonts w:ascii="仿宋_GB2312" w:eastAsia="仿宋_GB2312"/>
          <w:color w:val="auto"/>
          <w:sz w:val="24"/>
        </w:rPr>
      </w:pPr>
    </w:p>
    <w:p>
      <w:pPr>
        <w:pStyle w:val="21"/>
        <w:spacing w:line="240" w:lineRule="atLeast"/>
        <w:rPr>
          <w:rFonts w:ascii="仿宋_GB2312" w:eastAsia="仿宋_GB2312"/>
          <w:color w:val="auto"/>
          <w:sz w:val="24"/>
        </w:rPr>
      </w:pPr>
      <w:r>
        <w:rPr>
          <w:rFonts w:hint="eastAsia" w:ascii="仿宋_GB2312" w:eastAsia="仿宋_GB2312"/>
          <w:color w:val="auto"/>
          <w:sz w:val="24"/>
        </w:rPr>
        <w:t>项目名称</w:t>
      </w:r>
      <w:r>
        <w:rPr>
          <w:rFonts w:ascii="仿宋_GB2312" w:eastAsia="仿宋_GB2312"/>
          <w:color w:val="auto"/>
          <w:sz w:val="24"/>
        </w:rPr>
        <w:t>:</w:t>
      </w:r>
      <w:r>
        <w:rPr>
          <w:rFonts w:ascii="仿宋_GB2312" w:hAnsi="宋体"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项目编号</w:t>
      </w:r>
      <w:r>
        <w:rPr>
          <w:rFonts w:ascii="仿宋_GB2312" w:eastAsia="仿宋_GB2312"/>
          <w:color w:val="auto"/>
          <w:sz w:val="24"/>
        </w:rPr>
        <w:t>:</w:t>
      </w:r>
      <w:r>
        <w:rPr>
          <w:rFonts w:ascii="仿宋_GB2312" w:hAnsi="宋体" w:eastAsia="仿宋_GB2312"/>
          <w:color w:val="auto"/>
          <w:sz w:val="24"/>
          <w:u w:val="single"/>
        </w:rPr>
        <w:t xml:space="preserve">                </w:t>
      </w:r>
      <w:r>
        <w:rPr>
          <w:rFonts w:ascii="仿宋_GB2312" w:eastAsia="仿宋_GB2312"/>
          <w:color w:val="auto"/>
          <w:sz w:val="24"/>
        </w:rPr>
        <w:t xml:space="preserve">               </w:t>
      </w:r>
    </w:p>
    <w:p>
      <w:pPr>
        <w:pStyle w:val="21"/>
        <w:spacing w:line="240" w:lineRule="atLeast"/>
        <w:ind w:left="1080" w:leftChars="257" w:hanging="540"/>
        <w:rPr>
          <w:rFonts w:ascii="仿宋_GB2312" w:eastAsia="仿宋_GB2312"/>
          <w:color w:val="auto"/>
          <w:sz w:val="24"/>
        </w:rPr>
      </w:pPr>
      <w:r>
        <w:rPr>
          <w:rFonts w:ascii="仿宋_GB2312" w:eastAsia="仿宋_GB2312"/>
          <w:color w:val="auto"/>
          <w:sz w:val="24"/>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63"/>
        <w:gridCol w:w="1701"/>
        <w:gridCol w:w="1496"/>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序号</w:t>
            </w:r>
          </w:p>
        </w:tc>
        <w:tc>
          <w:tcPr>
            <w:tcW w:w="1260" w:type="dxa"/>
            <w:vAlign w:val="center"/>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货物（服务）名称</w:t>
            </w:r>
          </w:p>
        </w:tc>
        <w:tc>
          <w:tcPr>
            <w:tcW w:w="1663" w:type="dxa"/>
            <w:vAlign w:val="center"/>
          </w:tcPr>
          <w:p>
            <w:pPr>
              <w:pStyle w:val="21"/>
              <w:spacing w:line="240" w:lineRule="atLeast"/>
              <w:ind w:left="269" w:leftChars="128"/>
              <w:jc w:val="center"/>
              <w:rPr>
                <w:rFonts w:ascii="仿宋_GB2312" w:eastAsia="仿宋_GB2312"/>
                <w:color w:val="auto"/>
                <w:sz w:val="24"/>
              </w:rPr>
            </w:pPr>
            <w:r>
              <w:rPr>
                <w:rFonts w:hint="eastAsia" w:ascii="仿宋_GB2312" w:eastAsia="仿宋_GB2312"/>
                <w:color w:val="auto"/>
                <w:sz w:val="24"/>
              </w:rPr>
              <w:t>招标文件条款号</w:t>
            </w:r>
          </w:p>
        </w:tc>
        <w:tc>
          <w:tcPr>
            <w:tcW w:w="1701" w:type="dxa"/>
            <w:vAlign w:val="center"/>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招标规格</w:t>
            </w:r>
          </w:p>
        </w:tc>
        <w:tc>
          <w:tcPr>
            <w:tcW w:w="1496" w:type="dxa"/>
            <w:vAlign w:val="center"/>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投标规格</w:t>
            </w:r>
          </w:p>
        </w:tc>
        <w:tc>
          <w:tcPr>
            <w:tcW w:w="900" w:type="dxa"/>
            <w:vAlign w:val="center"/>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偏离</w:t>
            </w:r>
          </w:p>
        </w:tc>
        <w:tc>
          <w:tcPr>
            <w:tcW w:w="900" w:type="dxa"/>
            <w:vAlign w:val="center"/>
          </w:tcPr>
          <w:p>
            <w:pPr>
              <w:pStyle w:val="21"/>
              <w:spacing w:line="240" w:lineRule="atLeast"/>
              <w:jc w:val="center"/>
              <w:rPr>
                <w:rFonts w:ascii="仿宋_GB2312" w:eastAsia="仿宋_GB2312"/>
                <w:color w:val="auto"/>
                <w:sz w:val="24"/>
              </w:rPr>
            </w:pPr>
            <w:r>
              <w:rPr>
                <w:rFonts w:hint="eastAsia" w:ascii="仿宋_GB2312" w:eastAsia="仿宋_GB2312"/>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1"/>
              <w:spacing w:line="240" w:lineRule="atLeast"/>
              <w:ind w:left="1080" w:leftChars="257" w:hanging="540"/>
              <w:rPr>
                <w:rFonts w:ascii="仿宋_GB2312" w:eastAsia="仿宋_GB2312"/>
                <w:color w:val="auto"/>
                <w:sz w:val="24"/>
              </w:rPr>
            </w:pPr>
          </w:p>
        </w:tc>
        <w:tc>
          <w:tcPr>
            <w:tcW w:w="1260" w:type="dxa"/>
          </w:tcPr>
          <w:p>
            <w:pPr>
              <w:pStyle w:val="21"/>
              <w:spacing w:line="240" w:lineRule="atLeast"/>
              <w:ind w:left="1080" w:leftChars="257" w:hanging="540"/>
              <w:rPr>
                <w:rFonts w:ascii="仿宋_GB2312" w:eastAsia="仿宋_GB2312"/>
                <w:color w:val="auto"/>
                <w:sz w:val="24"/>
              </w:rPr>
            </w:pPr>
          </w:p>
        </w:tc>
        <w:tc>
          <w:tcPr>
            <w:tcW w:w="1663" w:type="dxa"/>
          </w:tcPr>
          <w:p>
            <w:pPr>
              <w:pStyle w:val="21"/>
              <w:spacing w:line="240" w:lineRule="atLeast"/>
              <w:ind w:left="1080" w:leftChars="257" w:hanging="540"/>
              <w:rPr>
                <w:rFonts w:ascii="仿宋_GB2312" w:eastAsia="仿宋_GB2312"/>
                <w:color w:val="auto"/>
                <w:sz w:val="24"/>
              </w:rPr>
            </w:pPr>
          </w:p>
        </w:tc>
        <w:tc>
          <w:tcPr>
            <w:tcW w:w="1701" w:type="dxa"/>
          </w:tcPr>
          <w:p>
            <w:pPr>
              <w:pStyle w:val="21"/>
              <w:spacing w:line="240" w:lineRule="atLeast"/>
              <w:ind w:left="1080" w:leftChars="257" w:hanging="540"/>
              <w:rPr>
                <w:rFonts w:ascii="仿宋_GB2312" w:eastAsia="仿宋_GB2312"/>
                <w:color w:val="auto"/>
                <w:sz w:val="24"/>
              </w:rPr>
            </w:pPr>
          </w:p>
        </w:tc>
        <w:tc>
          <w:tcPr>
            <w:tcW w:w="1496"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c>
          <w:tcPr>
            <w:tcW w:w="900" w:type="dxa"/>
          </w:tcPr>
          <w:p>
            <w:pPr>
              <w:pStyle w:val="21"/>
              <w:spacing w:line="240" w:lineRule="atLeast"/>
              <w:ind w:left="1080" w:leftChars="257" w:hanging="540"/>
              <w:rPr>
                <w:rFonts w:ascii="仿宋_GB2312" w:eastAsia="仿宋_GB2312"/>
                <w:color w:val="auto"/>
                <w:sz w:val="24"/>
              </w:rPr>
            </w:pPr>
          </w:p>
        </w:tc>
      </w:tr>
    </w:tbl>
    <w:p>
      <w:pPr>
        <w:pStyle w:val="21"/>
        <w:spacing w:line="360" w:lineRule="auto"/>
        <w:ind w:firstLine="211" w:firstLineChars="100"/>
        <w:rPr>
          <w:rFonts w:hAnsi="宋体"/>
          <w:b/>
          <w:color w:val="auto"/>
          <w:szCs w:val="21"/>
        </w:rPr>
      </w:pPr>
      <w:r>
        <w:rPr>
          <w:rFonts w:hint="eastAsia" w:hAnsi="宋体"/>
          <w:b/>
          <w:color w:val="auto"/>
          <w:szCs w:val="21"/>
        </w:rPr>
        <w:t>注：投标方若不填写，则视为完全响应采购文件要求。</w:t>
      </w:r>
    </w:p>
    <w:p>
      <w:pPr>
        <w:pStyle w:val="21"/>
        <w:spacing w:line="240" w:lineRule="atLeast"/>
        <w:ind w:left="1080" w:leftChars="257" w:hanging="540"/>
        <w:rPr>
          <w:rFonts w:ascii="仿宋_GB2312" w:eastAsia="仿宋_GB2312"/>
          <w:color w:val="auto"/>
          <w:sz w:val="24"/>
        </w:rPr>
      </w:pPr>
    </w:p>
    <w:p>
      <w:pPr>
        <w:pStyle w:val="21"/>
        <w:spacing w:line="360" w:lineRule="auto"/>
        <w:ind w:left="1079" w:leftChars="257" w:hanging="539"/>
        <w:rPr>
          <w:rFonts w:ascii="仿宋_GB2312" w:eastAsia="仿宋_GB2312"/>
          <w:color w:val="auto"/>
          <w:sz w:val="24"/>
        </w:rPr>
      </w:pPr>
      <w:r>
        <w:rPr>
          <w:rFonts w:hint="eastAsia" w:ascii="仿宋_GB2312" w:eastAsia="仿宋_GB2312"/>
          <w:color w:val="auto"/>
          <w:sz w:val="24"/>
        </w:rPr>
        <w:t>法定代表人或其委托代理人签字或盖章</w:t>
      </w:r>
      <w:r>
        <w:rPr>
          <w:rFonts w:ascii="仿宋_GB2312" w:eastAsia="仿宋_GB2312"/>
          <w:color w:val="auto"/>
          <w:sz w:val="24"/>
        </w:rPr>
        <w:t>:</w:t>
      </w:r>
      <w:r>
        <w:rPr>
          <w:rFonts w:ascii="仿宋_GB2312" w:hAnsi="宋体" w:eastAsia="仿宋_GB2312"/>
          <w:color w:val="auto"/>
          <w:sz w:val="24"/>
          <w:u w:val="single"/>
        </w:rPr>
        <w:tab/>
      </w:r>
      <w:r>
        <w:rPr>
          <w:rFonts w:ascii="仿宋_GB2312" w:hAnsi="宋体" w:eastAsia="仿宋_GB2312"/>
          <w:color w:val="auto"/>
          <w:sz w:val="24"/>
          <w:u w:val="single"/>
        </w:rPr>
        <w:t xml:space="preserve">            </w:t>
      </w:r>
    </w:p>
    <w:p>
      <w:pPr>
        <w:pStyle w:val="21"/>
        <w:tabs>
          <w:tab w:val="left" w:pos="6450"/>
        </w:tabs>
        <w:spacing w:line="360" w:lineRule="auto"/>
        <w:ind w:left="1079" w:leftChars="257" w:hanging="539"/>
        <w:rPr>
          <w:rFonts w:ascii="仿宋_GB2312" w:hAnsi="宋体" w:eastAsia="仿宋_GB2312"/>
          <w:color w:val="auto"/>
          <w:sz w:val="24"/>
          <w:u w:val="single"/>
        </w:rPr>
      </w:pPr>
      <w:r>
        <w:rPr>
          <w:rFonts w:hint="eastAsia" w:ascii="仿宋_GB2312" w:hAnsi="宋体" w:eastAsia="仿宋_GB2312"/>
          <w:color w:val="auto"/>
          <w:sz w:val="24"/>
        </w:rPr>
        <w:t>投标人</w:t>
      </w:r>
      <w:r>
        <w:rPr>
          <w:rFonts w:ascii="仿宋_GB2312" w:hAnsi="宋体" w:eastAsia="仿宋_GB2312"/>
          <w:color w:val="auto"/>
          <w:sz w:val="24"/>
        </w:rPr>
        <w:t>(</w:t>
      </w:r>
      <w:r>
        <w:rPr>
          <w:rFonts w:hint="eastAsia" w:ascii="仿宋_GB2312" w:hAnsi="宋体" w:eastAsia="仿宋_GB2312"/>
          <w:color w:val="auto"/>
          <w:sz w:val="24"/>
        </w:rPr>
        <w:t>盖单位章</w:t>
      </w:r>
      <w:r>
        <w:rPr>
          <w:rFonts w:ascii="仿宋_GB2312" w:hAnsi="宋体" w:eastAsia="仿宋_GB2312"/>
          <w:color w:val="auto"/>
          <w:sz w:val="24"/>
        </w:rPr>
        <w:t>):</w:t>
      </w:r>
      <w:r>
        <w:rPr>
          <w:rFonts w:ascii="仿宋_GB2312" w:hAnsi="宋体" w:eastAsia="仿宋_GB2312"/>
          <w:color w:val="auto"/>
          <w:sz w:val="24"/>
          <w:u w:val="single"/>
        </w:rPr>
        <w:tab/>
      </w:r>
    </w:p>
    <w:p>
      <w:pPr>
        <w:spacing w:line="360" w:lineRule="auto"/>
        <w:rPr>
          <w:rFonts w:ascii="宋体"/>
          <w:bCs/>
          <w:color w:val="auto"/>
          <w:sz w:val="28"/>
          <w:szCs w:val="28"/>
        </w:rPr>
      </w:pPr>
    </w:p>
    <w:p>
      <w:pPr>
        <w:spacing w:line="360" w:lineRule="auto"/>
        <w:rPr>
          <w:rFonts w:ascii="宋体"/>
          <w:bCs/>
          <w:color w:val="auto"/>
          <w:sz w:val="28"/>
          <w:szCs w:val="28"/>
        </w:rPr>
      </w:pPr>
    </w:p>
    <w:p>
      <w:pPr>
        <w:spacing w:line="360" w:lineRule="auto"/>
        <w:rPr>
          <w:rFonts w:ascii="宋体"/>
          <w:bCs/>
          <w:color w:val="auto"/>
          <w:sz w:val="28"/>
          <w:szCs w:val="28"/>
        </w:rPr>
      </w:pPr>
    </w:p>
    <w:p>
      <w:pPr>
        <w:pStyle w:val="58"/>
        <w:rPr>
          <w:color w:val="auto"/>
        </w:rPr>
      </w:pPr>
    </w:p>
    <w:p>
      <w:pPr>
        <w:pStyle w:val="58"/>
        <w:rPr>
          <w:color w:val="auto"/>
        </w:rPr>
      </w:pPr>
    </w:p>
    <w:p>
      <w:pPr>
        <w:spacing w:line="360" w:lineRule="auto"/>
        <w:rPr>
          <w:rFonts w:hint="eastAsia" w:ascii="宋体" w:hAnsi="宋体"/>
          <w:bCs/>
          <w:color w:val="auto"/>
          <w:sz w:val="28"/>
          <w:szCs w:val="28"/>
        </w:rPr>
      </w:pPr>
      <w:r>
        <w:rPr>
          <w:rFonts w:hint="eastAsia" w:ascii="宋体" w:hAnsi="宋体"/>
          <w:bCs/>
          <w:color w:val="auto"/>
          <w:sz w:val="28"/>
          <w:szCs w:val="28"/>
        </w:rPr>
        <w:t>附件</w:t>
      </w:r>
      <w:r>
        <w:rPr>
          <w:rFonts w:ascii="宋体" w:hAnsi="宋体"/>
          <w:bCs/>
          <w:color w:val="auto"/>
          <w:sz w:val="28"/>
          <w:szCs w:val="28"/>
        </w:rPr>
        <w:t>7</w:t>
      </w:r>
      <w:r>
        <w:rPr>
          <w:rFonts w:hint="eastAsia" w:ascii="宋体" w:hAnsi="宋体"/>
          <w:bCs/>
          <w:color w:val="auto"/>
          <w:sz w:val="28"/>
          <w:szCs w:val="28"/>
        </w:rPr>
        <w:t>：</w:t>
      </w:r>
    </w:p>
    <w:p>
      <w:pPr>
        <w:spacing w:line="360" w:lineRule="auto"/>
        <w:outlineLvl w:val="1"/>
        <w:rPr>
          <w:rFonts w:ascii="宋体"/>
          <w:bCs/>
          <w:color w:val="auto"/>
          <w:sz w:val="28"/>
          <w:szCs w:val="28"/>
        </w:rPr>
      </w:pPr>
      <w:bookmarkStart w:id="59" w:name="_Toc25869"/>
      <w:bookmarkStart w:id="60" w:name="_Toc14440"/>
      <w:r>
        <w:rPr>
          <w:rFonts w:hint="eastAsia" w:ascii="宋体" w:hAnsi="宋体"/>
          <w:bCs/>
          <w:color w:val="auto"/>
          <w:sz w:val="28"/>
          <w:szCs w:val="28"/>
        </w:rPr>
        <w:t>项目</w:t>
      </w:r>
      <w:r>
        <w:rPr>
          <w:rFonts w:hint="eastAsia" w:hAnsi="宋体"/>
          <w:color w:val="auto"/>
          <w:sz w:val="28"/>
          <w:szCs w:val="28"/>
        </w:rPr>
        <w:t>团队建设</w:t>
      </w:r>
      <w:bookmarkEnd w:id="59"/>
      <w:bookmarkEnd w:id="60"/>
    </w:p>
    <w:p>
      <w:pPr>
        <w:pStyle w:val="21"/>
        <w:rPr>
          <w:rFonts w:hAnsi="宋体"/>
          <w:color w:val="auto"/>
          <w:sz w:val="28"/>
          <w:szCs w:val="28"/>
        </w:rPr>
      </w:pPr>
    </w:p>
    <w:p>
      <w:pPr>
        <w:pStyle w:val="21"/>
        <w:rPr>
          <w:rFonts w:hint="eastAsia" w:hAnsi="宋体"/>
          <w:color w:val="auto"/>
          <w:sz w:val="28"/>
          <w:szCs w:val="28"/>
        </w:rPr>
      </w:pPr>
      <w:r>
        <w:rPr>
          <w:rFonts w:hint="eastAsia" w:hAnsi="宋体"/>
          <w:color w:val="auto"/>
          <w:sz w:val="28"/>
          <w:szCs w:val="28"/>
        </w:rPr>
        <w:t>附件</w:t>
      </w:r>
      <w:r>
        <w:rPr>
          <w:rFonts w:hAnsi="宋体"/>
          <w:color w:val="auto"/>
          <w:sz w:val="28"/>
          <w:szCs w:val="28"/>
        </w:rPr>
        <w:t>8</w:t>
      </w:r>
      <w:r>
        <w:rPr>
          <w:rFonts w:hint="eastAsia" w:hAnsi="宋体"/>
          <w:color w:val="auto"/>
          <w:sz w:val="28"/>
          <w:szCs w:val="28"/>
        </w:rPr>
        <w:t>：</w:t>
      </w:r>
    </w:p>
    <w:p>
      <w:pPr>
        <w:pStyle w:val="21"/>
        <w:outlineLvl w:val="1"/>
        <w:rPr>
          <w:rFonts w:hAnsi="宋体"/>
          <w:color w:val="auto"/>
          <w:sz w:val="28"/>
          <w:szCs w:val="28"/>
        </w:rPr>
      </w:pPr>
      <w:bookmarkStart w:id="61" w:name="_Toc3727"/>
      <w:bookmarkStart w:id="62" w:name="_Toc10251"/>
      <w:r>
        <w:rPr>
          <w:rFonts w:hint="eastAsia" w:hAnsi="宋体"/>
          <w:color w:val="auto"/>
          <w:sz w:val="28"/>
          <w:szCs w:val="28"/>
        </w:rPr>
        <w:t>工作人员培训及管理</w:t>
      </w:r>
      <w:bookmarkEnd w:id="61"/>
      <w:bookmarkEnd w:id="62"/>
    </w:p>
    <w:p>
      <w:pPr>
        <w:pStyle w:val="21"/>
        <w:rPr>
          <w:rFonts w:hAnsi="宋体"/>
          <w:color w:val="auto"/>
          <w:sz w:val="28"/>
          <w:szCs w:val="28"/>
        </w:rPr>
      </w:pPr>
    </w:p>
    <w:p>
      <w:pPr>
        <w:pStyle w:val="21"/>
        <w:rPr>
          <w:rFonts w:hAnsi="宋体"/>
          <w:color w:val="auto"/>
          <w:sz w:val="28"/>
          <w:szCs w:val="28"/>
        </w:rPr>
      </w:pPr>
    </w:p>
    <w:p>
      <w:pPr>
        <w:pStyle w:val="21"/>
        <w:rPr>
          <w:rFonts w:hAnsi="宋体"/>
          <w:color w:val="auto"/>
          <w:sz w:val="28"/>
          <w:szCs w:val="28"/>
        </w:rPr>
      </w:pPr>
      <w:r>
        <w:rPr>
          <w:rFonts w:hint="eastAsia" w:hAnsi="宋体"/>
          <w:color w:val="auto"/>
          <w:sz w:val="28"/>
          <w:szCs w:val="28"/>
        </w:rPr>
        <w:t>附件</w:t>
      </w:r>
      <w:r>
        <w:rPr>
          <w:rFonts w:hAnsi="宋体"/>
          <w:color w:val="auto"/>
          <w:sz w:val="28"/>
          <w:szCs w:val="28"/>
        </w:rPr>
        <w:t>9:</w:t>
      </w:r>
    </w:p>
    <w:p>
      <w:pPr>
        <w:pStyle w:val="21"/>
        <w:outlineLvl w:val="1"/>
        <w:rPr>
          <w:rFonts w:hAnsi="宋体"/>
          <w:color w:val="auto"/>
          <w:sz w:val="28"/>
          <w:szCs w:val="28"/>
        </w:rPr>
      </w:pPr>
      <w:bookmarkStart w:id="63" w:name="_Toc18372"/>
      <w:bookmarkStart w:id="64" w:name="_Toc28621"/>
      <w:r>
        <w:rPr>
          <w:rFonts w:hint="eastAsia" w:hAnsi="宋体"/>
          <w:color w:val="auto"/>
          <w:sz w:val="28"/>
          <w:szCs w:val="28"/>
        </w:rPr>
        <w:t>售后服务承诺等</w:t>
      </w:r>
      <w:bookmarkEnd w:id="63"/>
      <w:bookmarkEnd w:id="64"/>
    </w:p>
    <w:p>
      <w:pPr>
        <w:pStyle w:val="21"/>
        <w:rPr>
          <w:rFonts w:hAnsi="宋体"/>
          <w:color w:val="auto"/>
          <w:sz w:val="32"/>
        </w:rPr>
      </w:pPr>
    </w:p>
    <w:p>
      <w:pPr>
        <w:pStyle w:val="21"/>
        <w:rPr>
          <w:rFonts w:hint="eastAsia" w:hAnsi="宋体"/>
          <w:color w:val="auto"/>
          <w:sz w:val="28"/>
          <w:szCs w:val="28"/>
        </w:rPr>
      </w:pPr>
      <w:r>
        <w:rPr>
          <w:rFonts w:hint="eastAsia" w:hAnsi="宋体"/>
          <w:color w:val="auto"/>
          <w:sz w:val="28"/>
          <w:szCs w:val="28"/>
        </w:rPr>
        <w:t>附件</w:t>
      </w:r>
      <w:r>
        <w:rPr>
          <w:rFonts w:hAnsi="宋体"/>
          <w:color w:val="auto"/>
          <w:sz w:val="28"/>
          <w:szCs w:val="28"/>
        </w:rPr>
        <w:t>10</w:t>
      </w:r>
      <w:r>
        <w:rPr>
          <w:rFonts w:hint="eastAsia" w:hAnsi="宋体"/>
          <w:color w:val="auto"/>
          <w:sz w:val="28"/>
          <w:szCs w:val="28"/>
        </w:rPr>
        <w:t>：</w:t>
      </w:r>
    </w:p>
    <w:p>
      <w:pPr>
        <w:pStyle w:val="21"/>
        <w:outlineLvl w:val="1"/>
        <w:rPr>
          <w:rFonts w:hAnsi="宋体"/>
          <w:color w:val="auto"/>
          <w:sz w:val="28"/>
          <w:szCs w:val="28"/>
        </w:rPr>
      </w:pPr>
      <w:bookmarkStart w:id="65" w:name="_Toc13410"/>
      <w:bookmarkStart w:id="66" w:name="_Toc1716"/>
      <w:r>
        <w:rPr>
          <w:rFonts w:hint="eastAsia" w:hAnsi="宋体"/>
          <w:color w:val="auto"/>
          <w:sz w:val="28"/>
          <w:szCs w:val="28"/>
        </w:rPr>
        <w:t>资质证明文件</w:t>
      </w:r>
      <w:bookmarkEnd w:id="65"/>
      <w:bookmarkEnd w:id="66"/>
    </w:p>
    <w:p>
      <w:pPr>
        <w:pStyle w:val="21"/>
        <w:rPr>
          <w:rFonts w:hAnsi="宋体"/>
          <w:color w:val="auto"/>
          <w:sz w:val="28"/>
          <w:szCs w:val="28"/>
        </w:rPr>
      </w:pPr>
    </w:p>
    <w:p>
      <w:pPr>
        <w:pStyle w:val="21"/>
        <w:rPr>
          <w:rFonts w:hint="eastAsia" w:hAnsi="宋体"/>
          <w:color w:val="auto"/>
          <w:sz w:val="28"/>
          <w:szCs w:val="28"/>
        </w:rPr>
      </w:pPr>
      <w:r>
        <w:rPr>
          <w:rFonts w:hint="eastAsia" w:hAnsi="宋体"/>
          <w:color w:val="auto"/>
          <w:sz w:val="28"/>
          <w:szCs w:val="28"/>
        </w:rPr>
        <w:t>附件</w:t>
      </w:r>
      <w:r>
        <w:rPr>
          <w:rFonts w:hAnsi="宋体"/>
          <w:color w:val="auto"/>
          <w:sz w:val="28"/>
          <w:szCs w:val="28"/>
        </w:rPr>
        <w:t>11</w:t>
      </w:r>
      <w:r>
        <w:rPr>
          <w:rFonts w:hint="eastAsia" w:hAnsi="宋体"/>
          <w:color w:val="auto"/>
          <w:sz w:val="28"/>
          <w:szCs w:val="28"/>
        </w:rPr>
        <w:t>：</w:t>
      </w:r>
    </w:p>
    <w:p>
      <w:pPr>
        <w:pStyle w:val="21"/>
        <w:outlineLvl w:val="1"/>
        <w:rPr>
          <w:rFonts w:hAnsi="宋体"/>
          <w:color w:val="auto"/>
          <w:sz w:val="28"/>
          <w:szCs w:val="28"/>
        </w:rPr>
      </w:pPr>
      <w:bookmarkStart w:id="67" w:name="_Toc1051"/>
      <w:bookmarkStart w:id="68" w:name="_Toc22086"/>
      <w:r>
        <w:rPr>
          <w:rFonts w:hint="eastAsia" w:hAnsi="宋体"/>
          <w:color w:val="auto"/>
          <w:sz w:val="28"/>
          <w:szCs w:val="28"/>
        </w:rPr>
        <w:t>类似业绩及相关证明</w:t>
      </w:r>
      <w:bookmarkEnd w:id="67"/>
      <w:bookmarkEnd w:id="68"/>
    </w:p>
    <w:p>
      <w:pPr>
        <w:pStyle w:val="21"/>
        <w:rPr>
          <w:rFonts w:hAnsi="宋体"/>
          <w:color w:val="auto"/>
          <w:sz w:val="28"/>
          <w:szCs w:val="28"/>
        </w:rPr>
      </w:pPr>
    </w:p>
    <w:p>
      <w:pPr>
        <w:pStyle w:val="21"/>
        <w:rPr>
          <w:rFonts w:hAnsi="宋体"/>
          <w:color w:val="auto"/>
          <w:sz w:val="28"/>
          <w:szCs w:val="28"/>
        </w:rPr>
      </w:pPr>
    </w:p>
    <w:p>
      <w:pPr>
        <w:pStyle w:val="21"/>
        <w:rPr>
          <w:rFonts w:hint="eastAsia" w:hAnsi="宋体"/>
          <w:color w:val="auto"/>
          <w:sz w:val="28"/>
          <w:szCs w:val="28"/>
        </w:rPr>
      </w:pPr>
      <w:r>
        <w:rPr>
          <w:rFonts w:hint="eastAsia" w:hAnsi="宋体"/>
          <w:color w:val="auto"/>
          <w:sz w:val="28"/>
          <w:szCs w:val="28"/>
        </w:rPr>
        <w:t>附件</w:t>
      </w:r>
      <w:r>
        <w:rPr>
          <w:rFonts w:hAnsi="宋体"/>
          <w:color w:val="auto"/>
          <w:sz w:val="28"/>
          <w:szCs w:val="28"/>
        </w:rPr>
        <w:t>12</w:t>
      </w:r>
      <w:r>
        <w:rPr>
          <w:rFonts w:hint="eastAsia" w:hAnsi="宋体"/>
          <w:color w:val="auto"/>
          <w:sz w:val="28"/>
          <w:szCs w:val="28"/>
        </w:rPr>
        <w:t>：</w:t>
      </w:r>
    </w:p>
    <w:p>
      <w:pPr>
        <w:pStyle w:val="21"/>
        <w:outlineLvl w:val="1"/>
        <w:rPr>
          <w:rFonts w:hAnsi="宋体"/>
          <w:color w:val="auto"/>
          <w:sz w:val="28"/>
          <w:szCs w:val="28"/>
        </w:rPr>
      </w:pPr>
      <w:bookmarkStart w:id="69" w:name="_Toc7726"/>
      <w:bookmarkStart w:id="70" w:name="_Toc10598"/>
      <w:r>
        <w:rPr>
          <w:rFonts w:hint="eastAsia" w:hAnsi="宋体"/>
          <w:color w:val="auto"/>
          <w:sz w:val="28"/>
          <w:szCs w:val="28"/>
        </w:rPr>
        <w:t>供应商认为需要提供的其他资料</w:t>
      </w:r>
      <w:bookmarkEnd w:id="69"/>
      <w:bookmarkEnd w:id="70"/>
    </w:p>
    <w:p>
      <w:pPr>
        <w:spacing w:line="360" w:lineRule="auto"/>
        <w:rPr>
          <w:rFonts w:ascii="宋体"/>
          <w:color w:val="auto"/>
          <w:sz w:val="28"/>
          <w:szCs w:val="28"/>
        </w:rPr>
      </w:pPr>
      <w:r>
        <w:rPr>
          <w:rFonts w:ascii="宋体"/>
          <w:color w:val="auto"/>
          <w:sz w:val="28"/>
          <w:szCs w:val="28"/>
        </w:rPr>
        <w:br w:type="page"/>
      </w:r>
      <w:r>
        <w:rPr>
          <w:rFonts w:hint="eastAsia" w:ascii="宋体" w:hAnsi="宋体"/>
          <w:color w:val="auto"/>
          <w:sz w:val="28"/>
          <w:szCs w:val="28"/>
        </w:rPr>
        <w:t>附件</w:t>
      </w:r>
      <w:r>
        <w:rPr>
          <w:rFonts w:ascii="宋体" w:hAnsi="宋体"/>
          <w:color w:val="auto"/>
          <w:sz w:val="28"/>
          <w:szCs w:val="28"/>
        </w:rPr>
        <w:t>13</w:t>
      </w:r>
      <w:r>
        <w:rPr>
          <w:rFonts w:hint="eastAsia" w:ascii="宋体" w:hAnsi="宋体"/>
          <w:color w:val="auto"/>
          <w:sz w:val="28"/>
          <w:szCs w:val="28"/>
        </w:rPr>
        <w:t>：</w:t>
      </w:r>
    </w:p>
    <w:p>
      <w:pPr>
        <w:jc w:val="center"/>
        <w:outlineLvl w:val="1"/>
        <w:rPr>
          <w:b/>
          <w:color w:val="auto"/>
          <w:sz w:val="28"/>
        </w:rPr>
      </w:pPr>
      <w:bookmarkStart w:id="71" w:name="_Toc2125"/>
      <w:bookmarkStart w:id="72" w:name="_Toc15507"/>
      <w:r>
        <w:rPr>
          <w:rFonts w:hint="eastAsia"/>
          <w:b/>
          <w:color w:val="auto"/>
          <w:sz w:val="28"/>
        </w:rPr>
        <w:t>法定代表人证明</w:t>
      </w:r>
      <w:bookmarkEnd w:id="71"/>
      <w:bookmarkEnd w:id="72"/>
    </w:p>
    <w:p>
      <w:pPr>
        <w:pStyle w:val="21"/>
        <w:adjustRightInd w:val="0"/>
        <w:snapToGrid w:val="0"/>
        <w:spacing w:line="360" w:lineRule="auto"/>
        <w:rPr>
          <w:rFonts w:hAnsi="宋体"/>
          <w:color w:val="auto"/>
          <w:sz w:val="28"/>
          <w:szCs w:val="28"/>
        </w:rPr>
      </w:pPr>
      <w:r>
        <w:rPr>
          <w:rFonts w:hint="eastAsia" w:hAnsi="宋体"/>
          <w:color w:val="auto"/>
          <w:sz w:val="28"/>
          <w:szCs w:val="28"/>
        </w:rPr>
        <w:t>承德市政府采购中心：</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兹有</w:t>
      </w:r>
      <w:r>
        <w:rPr>
          <w:rFonts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hAnsi="宋体"/>
          <w:color w:val="auto"/>
          <w:sz w:val="28"/>
          <w:szCs w:val="28"/>
        </w:rPr>
        <w:t>同志为</w:t>
      </w:r>
      <w:r>
        <w:rPr>
          <w:rFonts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hAnsi="宋体"/>
          <w:color w:val="auto"/>
          <w:sz w:val="28"/>
          <w:szCs w:val="28"/>
        </w:rPr>
        <w:t>公司法定代表人，代表我单位办理的一切社会公务活动，具有法律效力。</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附法定代表人基本情况：</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姓名：</w:t>
      </w:r>
      <w:r>
        <w:rPr>
          <w:rFonts w:hAnsi="宋体"/>
          <w:color w:val="auto"/>
          <w:sz w:val="28"/>
          <w:szCs w:val="28"/>
        </w:rPr>
        <w:t xml:space="preserve">        </w:t>
      </w:r>
      <w:r>
        <w:rPr>
          <w:rFonts w:hint="eastAsia" w:hAnsi="宋体"/>
          <w:color w:val="auto"/>
          <w:sz w:val="28"/>
          <w:szCs w:val="28"/>
        </w:rPr>
        <w:t>性别：</w:t>
      </w:r>
      <w:r>
        <w:rPr>
          <w:rFonts w:hAnsi="宋体"/>
          <w:color w:val="auto"/>
          <w:sz w:val="28"/>
          <w:szCs w:val="28"/>
        </w:rPr>
        <w:t xml:space="preserve">    </w:t>
      </w:r>
      <w:r>
        <w:rPr>
          <w:rFonts w:hint="eastAsia" w:hAnsi="宋体"/>
          <w:color w:val="auto"/>
          <w:sz w:val="28"/>
          <w:szCs w:val="28"/>
        </w:rPr>
        <w:t>年龄：</w:t>
      </w:r>
      <w:r>
        <w:rPr>
          <w:rFonts w:hAnsi="宋体"/>
          <w:color w:val="auto"/>
          <w:sz w:val="28"/>
          <w:szCs w:val="28"/>
        </w:rPr>
        <w:t xml:space="preserve">     </w:t>
      </w:r>
      <w:r>
        <w:rPr>
          <w:rFonts w:hint="eastAsia" w:hAnsi="宋体"/>
          <w:color w:val="auto"/>
          <w:sz w:val="28"/>
          <w:szCs w:val="28"/>
        </w:rPr>
        <w:t>职务：</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身份证号码：</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通讯地址：</w:t>
      </w:r>
      <w:r>
        <w:rPr>
          <w:rFonts w:hAnsi="宋体"/>
          <w:color w:val="auto"/>
          <w:sz w:val="28"/>
          <w:szCs w:val="28"/>
        </w:rPr>
        <w:t xml:space="preserve">                   </w:t>
      </w:r>
      <w:r>
        <w:rPr>
          <w:rFonts w:hint="eastAsia" w:hAnsi="宋体"/>
          <w:color w:val="auto"/>
          <w:sz w:val="28"/>
          <w:szCs w:val="28"/>
        </w:rPr>
        <w:t>邮政编码：</w:t>
      </w:r>
    </w:p>
    <w:p>
      <w:pPr>
        <w:pStyle w:val="21"/>
        <w:adjustRightInd w:val="0"/>
        <w:snapToGrid w:val="0"/>
        <w:spacing w:line="360" w:lineRule="auto"/>
        <w:ind w:firstLine="600"/>
        <w:rPr>
          <w:rFonts w:hAnsi="宋体"/>
          <w:color w:val="auto"/>
          <w:sz w:val="28"/>
          <w:szCs w:val="28"/>
        </w:rPr>
      </w:pPr>
      <w:r>
        <w:rPr>
          <w:rFonts w:hint="eastAsia" w:hAnsi="宋体"/>
          <w:color w:val="auto"/>
          <w:sz w:val="28"/>
          <w:szCs w:val="28"/>
        </w:rPr>
        <w:t>电话号码：</w:t>
      </w:r>
      <w:r>
        <w:rPr>
          <w:rFonts w:hAnsi="宋体"/>
          <w:color w:val="auto"/>
          <w:sz w:val="28"/>
          <w:szCs w:val="28"/>
        </w:rPr>
        <w:t xml:space="preserve">                   </w:t>
      </w:r>
      <w:r>
        <w:rPr>
          <w:rFonts w:hint="eastAsia" w:hAnsi="宋体"/>
          <w:color w:val="auto"/>
          <w:sz w:val="28"/>
          <w:szCs w:val="28"/>
        </w:rPr>
        <w:t>手机号码：</w:t>
      </w:r>
    </w:p>
    <w:p>
      <w:pPr>
        <w:pStyle w:val="21"/>
        <w:adjustRightInd w:val="0"/>
        <w:snapToGrid w:val="0"/>
        <w:spacing w:line="360" w:lineRule="auto"/>
        <w:ind w:firstLine="600"/>
        <w:rPr>
          <w:rFonts w:hAnsi="宋体"/>
          <w:color w:val="auto"/>
          <w:sz w:val="28"/>
          <w:szCs w:val="28"/>
        </w:rPr>
      </w:pPr>
      <w:r>
        <w:rPr>
          <w:rFonts w:hint="eastAsia" w:hAnsi="宋体"/>
          <w:color w:val="auto"/>
          <w:sz w:val="28"/>
          <w:szCs w:val="28"/>
        </w:rPr>
        <w:t>传真号码：</w:t>
      </w:r>
      <w:r>
        <w:rPr>
          <w:rFonts w:hAnsi="宋体"/>
          <w:color w:val="auto"/>
          <w:sz w:val="28"/>
          <w:szCs w:val="28"/>
        </w:rPr>
        <w:t xml:space="preserve">                   </w:t>
      </w:r>
      <w:r>
        <w:rPr>
          <w:rFonts w:hint="eastAsia" w:hAnsi="宋体"/>
          <w:color w:val="auto"/>
          <w:sz w:val="28"/>
          <w:szCs w:val="28"/>
        </w:rPr>
        <w:t>电子信箱：</w:t>
      </w:r>
    </w:p>
    <w:p>
      <w:pPr>
        <w:pStyle w:val="21"/>
        <w:adjustRightInd w:val="0"/>
        <w:snapToGrid w:val="0"/>
        <w:spacing w:line="360" w:lineRule="auto"/>
        <w:ind w:firstLine="612"/>
        <w:rPr>
          <w:rFonts w:hAnsi="宋体"/>
          <w:color w:val="auto"/>
          <w:sz w:val="28"/>
          <w:szCs w:val="28"/>
        </w:rPr>
      </w:pPr>
      <w:r>
        <w:rPr>
          <w:rFonts w:hint="eastAsia" w:hAnsi="宋体"/>
          <w:color w:val="auto"/>
          <w:sz w:val="28"/>
          <w:szCs w:val="28"/>
        </w:rPr>
        <w:t>单位名称：</w:t>
      </w:r>
      <w:r>
        <w:rPr>
          <w:rFonts w:hAnsi="宋体"/>
          <w:color w:val="auto"/>
          <w:sz w:val="28"/>
          <w:szCs w:val="28"/>
        </w:rPr>
        <w:t>(</w:t>
      </w:r>
      <w:r>
        <w:rPr>
          <w:rFonts w:hint="eastAsia" w:hAnsi="宋体"/>
          <w:color w:val="auto"/>
          <w:sz w:val="28"/>
          <w:szCs w:val="28"/>
        </w:rPr>
        <w:t>章</w:t>
      </w:r>
      <w:r>
        <w:rPr>
          <w:rFonts w:hAnsi="宋体"/>
          <w:color w:val="auto"/>
          <w:sz w:val="28"/>
          <w:szCs w:val="28"/>
        </w:rPr>
        <w:t xml:space="preserve">)               </w:t>
      </w:r>
      <w:r>
        <w:rPr>
          <w:rFonts w:hint="eastAsia" w:hAnsi="宋体"/>
          <w:color w:val="auto"/>
          <w:sz w:val="28"/>
          <w:szCs w:val="28"/>
        </w:rPr>
        <w:t>法定代表人：</w:t>
      </w:r>
      <w:r>
        <w:rPr>
          <w:rFonts w:hAnsi="宋体"/>
          <w:color w:val="auto"/>
          <w:sz w:val="28"/>
          <w:szCs w:val="28"/>
        </w:rPr>
        <w:t xml:space="preserve"> (</w:t>
      </w:r>
      <w:r>
        <w:rPr>
          <w:rFonts w:hint="eastAsia" w:hAnsi="宋体"/>
          <w:color w:val="auto"/>
          <w:sz w:val="28"/>
          <w:szCs w:val="28"/>
        </w:rPr>
        <w:t>签字或盖章</w:t>
      </w:r>
      <w:r>
        <w:rPr>
          <w:rFonts w:hAnsi="宋体"/>
          <w:color w:val="auto"/>
          <w:sz w:val="28"/>
          <w:szCs w:val="28"/>
        </w:rPr>
        <w:t>)</w:t>
      </w:r>
    </w:p>
    <w:p>
      <w:pPr>
        <w:pStyle w:val="21"/>
        <w:adjustRightInd w:val="0"/>
        <w:snapToGrid w:val="0"/>
        <w:spacing w:line="360" w:lineRule="auto"/>
        <w:ind w:firstLine="612"/>
        <w:rPr>
          <w:rFonts w:hAnsi="宋体"/>
          <w:color w:val="auto"/>
          <w:sz w:val="28"/>
          <w:szCs w:val="28"/>
        </w:rPr>
      </w:pPr>
      <w:r>
        <w:rPr>
          <w:rFonts w:hAnsi="宋体"/>
          <w:color w:val="auto"/>
          <w:sz w:val="28"/>
          <w:szCs w:val="28"/>
        </w:rPr>
        <w:t xml:space="preserve">                                </w:t>
      </w:r>
      <w:r>
        <w:rPr>
          <w:rFonts w:hint="eastAsia" w:hAnsi="宋体"/>
          <w:color w:val="auto"/>
          <w:sz w:val="28"/>
          <w:szCs w:val="28"/>
        </w:rPr>
        <w:t>年</w:t>
      </w:r>
      <w:r>
        <w:rPr>
          <w:rFonts w:hAnsi="宋体"/>
          <w:color w:val="auto"/>
          <w:sz w:val="28"/>
          <w:szCs w:val="28"/>
        </w:rPr>
        <w:t xml:space="preserve">   </w:t>
      </w:r>
      <w:r>
        <w:rPr>
          <w:rFonts w:hint="eastAsia" w:hAnsi="宋体"/>
          <w:color w:val="auto"/>
          <w:sz w:val="28"/>
          <w:szCs w:val="28"/>
        </w:rPr>
        <w:t>月</w:t>
      </w:r>
      <w:r>
        <w:rPr>
          <w:rFonts w:hAnsi="宋体"/>
          <w:color w:val="auto"/>
          <w:sz w:val="28"/>
          <w:szCs w:val="28"/>
        </w:rPr>
        <w:t xml:space="preserve">   </w:t>
      </w:r>
      <w:r>
        <w:rPr>
          <w:rFonts w:hint="eastAsia" w:hAnsi="宋体"/>
          <w:color w:val="auto"/>
          <w:sz w:val="28"/>
          <w:szCs w:val="28"/>
        </w:rPr>
        <w:t>日</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法人代表《居民身份证》：</w:t>
      </w:r>
    </w:p>
    <w:p>
      <w:pPr>
        <w:pStyle w:val="21"/>
        <w:adjustRightInd w:val="0"/>
        <w:snapToGrid w:val="0"/>
        <w:spacing w:line="360" w:lineRule="auto"/>
        <w:rPr>
          <w:rFonts w:hAnsi="宋体"/>
          <w:color w:val="auto"/>
          <w:sz w:val="24"/>
          <w:szCs w:val="24"/>
          <w:u w:val="single"/>
        </w:rPr>
      </w:pPr>
      <w:r>
        <w:rPr>
          <w:rFonts w:hAnsi="宋体"/>
          <w:color w:val="auto"/>
          <w:sz w:val="24"/>
          <w:szCs w:val="24"/>
          <w:u w:val="single"/>
        </w:rPr>
        <w:t xml:space="preserve">                                                                          </w:t>
      </w:r>
    </w:p>
    <w:tbl>
      <w:tblPr>
        <w:tblStyle w:val="39"/>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3" w:hRule="atLeast"/>
          <w:jc w:val="center"/>
        </w:trPr>
        <w:tc>
          <w:tcPr>
            <w:tcW w:w="8163" w:type="dxa"/>
            <w:vAlign w:val="center"/>
          </w:tcPr>
          <w:p>
            <w:pPr>
              <w:pStyle w:val="21"/>
              <w:spacing w:line="360" w:lineRule="auto"/>
              <w:jc w:val="center"/>
              <w:rPr>
                <w:rFonts w:hAnsi="宋体"/>
                <w:b/>
                <w:color w:val="auto"/>
                <w:szCs w:val="21"/>
              </w:rPr>
            </w:pPr>
            <w:r>
              <w:rPr>
                <w:rFonts w:hint="eastAsia" w:hAnsi="宋体"/>
                <w:b/>
                <w:color w:val="auto"/>
                <w:szCs w:val="21"/>
              </w:rPr>
              <w:t>请注意</w:t>
            </w:r>
            <w:r>
              <w:rPr>
                <w:rFonts w:hAnsi="宋体"/>
                <w:b/>
                <w:color w:val="auto"/>
                <w:szCs w:val="21"/>
              </w:rPr>
              <w:t>!!!</w:t>
            </w:r>
          </w:p>
          <w:p>
            <w:pPr>
              <w:pStyle w:val="21"/>
              <w:spacing w:line="360" w:lineRule="auto"/>
              <w:jc w:val="center"/>
              <w:rPr>
                <w:rFonts w:hAnsi="宋体"/>
                <w:b/>
                <w:color w:val="auto"/>
                <w:szCs w:val="21"/>
              </w:rPr>
            </w:pPr>
            <w:r>
              <w:rPr>
                <w:rFonts w:hint="eastAsia" w:hAnsi="宋体"/>
                <w:b/>
                <w:color w:val="auto"/>
                <w:szCs w:val="21"/>
              </w:rPr>
              <w:t>将身份证原件正、反面扫描件效在该框上。</w:t>
            </w:r>
          </w:p>
        </w:tc>
      </w:tr>
    </w:tbl>
    <w:p>
      <w:pPr>
        <w:pStyle w:val="21"/>
        <w:adjustRightInd w:val="0"/>
        <w:snapToGrid w:val="0"/>
        <w:spacing w:line="360" w:lineRule="auto"/>
        <w:rPr>
          <w:rFonts w:hAnsi="宋体"/>
          <w:color w:val="auto"/>
          <w:sz w:val="28"/>
          <w:szCs w:val="28"/>
        </w:rPr>
      </w:pPr>
    </w:p>
    <w:p>
      <w:pPr>
        <w:pStyle w:val="21"/>
        <w:adjustRightInd w:val="0"/>
        <w:snapToGrid w:val="0"/>
        <w:spacing w:line="360" w:lineRule="auto"/>
        <w:rPr>
          <w:rFonts w:hAnsi="宋体"/>
          <w:color w:val="auto"/>
          <w:sz w:val="28"/>
          <w:szCs w:val="28"/>
        </w:rPr>
      </w:pPr>
    </w:p>
    <w:p>
      <w:pPr>
        <w:pStyle w:val="21"/>
        <w:adjustRightInd w:val="0"/>
        <w:snapToGrid w:val="0"/>
        <w:spacing w:line="360" w:lineRule="auto"/>
        <w:rPr>
          <w:rFonts w:hAnsi="宋体"/>
          <w:color w:val="auto"/>
          <w:sz w:val="28"/>
          <w:szCs w:val="28"/>
        </w:rPr>
      </w:pPr>
      <w:r>
        <w:rPr>
          <w:rFonts w:hint="eastAsia" w:hAnsi="宋体"/>
          <w:color w:val="auto"/>
          <w:sz w:val="28"/>
          <w:szCs w:val="28"/>
        </w:rPr>
        <w:t>附件</w:t>
      </w:r>
      <w:r>
        <w:rPr>
          <w:rFonts w:hAnsi="宋体"/>
          <w:color w:val="auto"/>
          <w:sz w:val="28"/>
          <w:szCs w:val="28"/>
        </w:rPr>
        <w:t>14</w:t>
      </w:r>
      <w:r>
        <w:rPr>
          <w:rFonts w:hint="eastAsia" w:hAnsi="宋体"/>
          <w:color w:val="auto"/>
          <w:sz w:val="28"/>
          <w:szCs w:val="28"/>
        </w:rPr>
        <w:t>：</w:t>
      </w:r>
    </w:p>
    <w:p>
      <w:pPr>
        <w:jc w:val="center"/>
        <w:outlineLvl w:val="1"/>
        <w:rPr>
          <w:b/>
          <w:color w:val="auto"/>
          <w:sz w:val="28"/>
        </w:rPr>
      </w:pPr>
      <w:bookmarkStart w:id="73" w:name="_Toc4956"/>
      <w:bookmarkStart w:id="74" w:name="_Toc30861"/>
      <w:r>
        <w:rPr>
          <w:rFonts w:hint="eastAsia"/>
          <w:b/>
          <w:color w:val="auto"/>
          <w:sz w:val="28"/>
        </w:rPr>
        <w:t>法定代表人委托书</w:t>
      </w:r>
      <w:bookmarkEnd w:id="73"/>
      <w:bookmarkEnd w:id="74"/>
    </w:p>
    <w:p>
      <w:pPr>
        <w:pStyle w:val="21"/>
        <w:spacing w:line="360" w:lineRule="auto"/>
        <w:rPr>
          <w:rFonts w:hAnsi="宋体"/>
          <w:color w:val="auto"/>
          <w:sz w:val="28"/>
          <w:szCs w:val="28"/>
        </w:rPr>
      </w:pPr>
      <w:r>
        <w:rPr>
          <w:rFonts w:hint="eastAsia" w:hAnsi="宋体"/>
          <w:color w:val="auto"/>
          <w:sz w:val="28"/>
          <w:szCs w:val="28"/>
        </w:rPr>
        <w:t>承德市政府采购中心：</w:t>
      </w:r>
    </w:p>
    <w:p>
      <w:pPr>
        <w:pStyle w:val="21"/>
        <w:spacing w:line="360" w:lineRule="auto"/>
        <w:ind w:firstLine="600"/>
        <w:jc w:val="left"/>
        <w:rPr>
          <w:rFonts w:hAnsi="宋体"/>
          <w:color w:val="auto"/>
          <w:sz w:val="28"/>
          <w:szCs w:val="28"/>
        </w:rPr>
      </w:pPr>
      <w:r>
        <w:rPr>
          <w:rFonts w:hint="eastAsia" w:hAnsi="宋体"/>
          <w:color w:val="auto"/>
          <w:sz w:val="28"/>
          <w:szCs w:val="28"/>
        </w:rPr>
        <w:t>兹委托我单位</w:t>
      </w:r>
      <w:r>
        <w:rPr>
          <w:rFonts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hAnsi="宋体"/>
          <w:color w:val="auto"/>
          <w:sz w:val="28"/>
          <w:szCs w:val="28"/>
        </w:rPr>
        <w:t>同志全权代表我单位参加</w:t>
      </w:r>
      <w:r>
        <w:rPr>
          <w:rFonts w:ascii="仿宋_GB2312" w:hAnsi="宋体" w:eastAsia="仿宋_GB2312"/>
          <w:color w:val="auto"/>
          <w:sz w:val="24"/>
          <w:u w:val="single"/>
        </w:rPr>
        <w:tab/>
      </w:r>
      <w:r>
        <w:rPr>
          <w:rFonts w:ascii="仿宋_GB2312" w:hAnsi="宋体" w:eastAsia="仿宋_GB2312"/>
          <w:color w:val="auto"/>
          <w:sz w:val="24"/>
          <w:u w:val="single"/>
        </w:rPr>
        <w:t xml:space="preserve">            </w:t>
      </w:r>
      <w:r>
        <w:rPr>
          <w:rFonts w:hAnsi="宋体"/>
          <w:color w:val="auto"/>
          <w:sz w:val="28"/>
          <w:szCs w:val="28"/>
        </w:rPr>
        <w:t xml:space="preserve">              </w:t>
      </w:r>
      <w:r>
        <w:rPr>
          <w:rFonts w:hint="eastAsia" w:hAnsi="宋体"/>
          <w:color w:val="auto"/>
          <w:sz w:val="28"/>
          <w:szCs w:val="28"/>
        </w:rPr>
        <w:t>项目（项目编号：</w:t>
      </w:r>
      <w:r>
        <w:rPr>
          <w:rFonts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hAnsi="宋体"/>
          <w:color w:val="auto"/>
          <w:sz w:val="28"/>
          <w:szCs w:val="28"/>
        </w:rPr>
        <w:t>）采购活动。该同志提供的一切数据和资料及其投标报价，具有法律效力。</w:t>
      </w:r>
    </w:p>
    <w:p>
      <w:pPr>
        <w:pStyle w:val="21"/>
        <w:spacing w:line="360" w:lineRule="auto"/>
        <w:ind w:firstLine="600"/>
        <w:jc w:val="left"/>
        <w:rPr>
          <w:rFonts w:hAnsi="宋体"/>
          <w:color w:val="auto"/>
          <w:sz w:val="28"/>
          <w:szCs w:val="28"/>
        </w:rPr>
      </w:pPr>
      <w:r>
        <w:rPr>
          <w:rFonts w:hint="eastAsia" w:hAnsi="宋体"/>
          <w:color w:val="auto"/>
          <w:sz w:val="28"/>
          <w:szCs w:val="28"/>
        </w:rPr>
        <w:t>被委托人基本情况：</w:t>
      </w:r>
    </w:p>
    <w:p>
      <w:pPr>
        <w:pStyle w:val="21"/>
        <w:adjustRightInd w:val="0"/>
        <w:snapToGrid w:val="0"/>
        <w:spacing w:line="360" w:lineRule="auto"/>
        <w:ind w:firstLine="560" w:firstLineChars="200"/>
        <w:rPr>
          <w:rFonts w:hAnsi="宋体"/>
          <w:color w:val="auto"/>
          <w:sz w:val="28"/>
          <w:szCs w:val="28"/>
        </w:rPr>
      </w:pPr>
      <w:r>
        <w:rPr>
          <w:rFonts w:hint="eastAsia" w:hAnsi="宋体"/>
          <w:color w:val="auto"/>
          <w:sz w:val="28"/>
          <w:szCs w:val="28"/>
        </w:rPr>
        <w:t>姓名：</w:t>
      </w:r>
      <w:r>
        <w:rPr>
          <w:rFonts w:hAnsi="宋体"/>
          <w:color w:val="auto"/>
          <w:sz w:val="28"/>
          <w:szCs w:val="28"/>
        </w:rPr>
        <w:t xml:space="preserve">         </w:t>
      </w:r>
      <w:r>
        <w:rPr>
          <w:rFonts w:hint="eastAsia" w:hAnsi="宋体"/>
          <w:color w:val="auto"/>
          <w:sz w:val="28"/>
          <w:szCs w:val="28"/>
        </w:rPr>
        <w:t>性别：</w:t>
      </w:r>
      <w:r>
        <w:rPr>
          <w:rFonts w:hAnsi="宋体"/>
          <w:color w:val="auto"/>
          <w:sz w:val="28"/>
          <w:szCs w:val="28"/>
        </w:rPr>
        <w:t xml:space="preserve">      </w:t>
      </w:r>
      <w:r>
        <w:rPr>
          <w:rFonts w:hint="eastAsia" w:hAnsi="宋体"/>
          <w:color w:val="auto"/>
          <w:sz w:val="28"/>
          <w:szCs w:val="28"/>
        </w:rPr>
        <w:t>年龄：</w:t>
      </w:r>
      <w:r>
        <w:rPr>
          <w:rFonts w:hAnsi="宋体"/>
          <w:color w:val="auto"/>
          <w:sz w:val="28"/>
          <w:szCs w:val="28"/>
        </w:rPr>
        <w:t xml:space="preserve">     </w:t>
      </w:r>
      <w:r>
        <w:rPr>
          <w:rFonts w:hint="eastAsia" w:hAnsi="宋体"/>
          <w:color w:val="auto"/>
          <w:sz w:val="28"/>
          <w:szCs w:val="28"/>
        </w:rPr>
        <w:t>职务：</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身份证号码：</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通讯地址：</w:t>
      </w:r>
      <w:r>
        <w:rPr>
          <w:rFonts w:hAnsi="宋体"/>
          <w:color w:val="auto"/>
          <w:sz w:val="28"/>
          <w:szCs w:val="28"/>
        </w:rPr>
        <w:t xml:space="preserve">                   </w:t>
      </w:r>
      <w:r>
        <w:rPr>
          <w:rFonts w:hint="eastAsia" w:hAnsi="宋体"/>
          <w:color w:val="auto"/>
          <w:sz w:val="28"/>
          <w:szCs w:val="28"/>
        </w:rPr>
        <w:t>邮政编码：</w:t>
      </w:r>
    </w:p>
    <w:p>
      <w:pPr>
        <w:pStyle w:val="21"/>
        <w:adjustRightInd w:val="0"/>
        <w:snapToGrid w:val="0"/>
        <w:spacing w:line="360" w:lineRule="auto"/>
        <w:ind w:firstLine="600"/>
        <w:rPr>
          <w:rFonts w:hAnsi="宋体"/>
          <w:color w:val="auto"/>
          <w:sz w:val="28"/>
          <w:szCs w:val="28"/>
        </w:rPr>
      </w:pPr>
      <w:r>
        <w:rPr>
          <w:rFonts w:hint="eastAsia" w:hAnsi="宋体"/>
          <w:color w:val="auto"/>
          <w:sz w:val="28"/>
          <w:szCs w:val="28"/>
        </w:rPr>
        <w:t>电话号码：</w:t>
      </w:r>
      <w:r>
        <w:rPr>
          <w:rFonts w:hAnsi="宋体"/>
          <w:color w:val="auto"/>
          <w:sz w:val="28"/>
          <w:szCs w:val="28"/>
        </w:rPr>
        <w:t xml:space="preserve">                   </w:t>
      </w:r>
      <w:r>
        <w:rPr>
          <w:rFonts w:hint="eastAsia" w:hAnsi="宋体"/>
          <w:color w:val="auto"/>
          <w:sz w:val="28"/>
          <w:szCs w:val="28"/>
        </w:rPr>
        <w:t>手机号码：</w:t>
      </w:r>
    </w:p>
    <w:p>
      <w:pPr>
        <w:pStyle w:val="21"/>
        <w:adjustRightInd w:val="0"/>
        <w:snapToGrid w:val="0"/>
        <w:spacing w:line="360" w:lineRule="auto"/>
        <w:ind w:firstLine="600"/>
        <w:rPr>
          <w:rFonts w:hAnsi="宋体"/>
          <w:color w:val="auto"/>
          <w:sz w:val="28"/>
          <w:szCs w:val="28"/>
        </w:rPr>
      </w:pPr>
      <w:r>
        <w:rPr>
          <w:rFonts w:hint="eastAsia" w:hAnsi="宋体"/>
          <w:color w:val="auto"/>
          <w:sz w:val="28"/>
          <w:szCs w:val="28"/>
        </w:rPr>
        <w:t>传真号码：</w:t>
      </w:r>
      <w:r>
        <w:rPr>
          <w:rFonts w:hAnsi="宋体"/>
          <w:color w:val="auto"/>
          <w:sz w:val="28"/>
          <w:szCs w:val="28"/>
        </w:rPr>
        <w:t xml:space="preserve">                   </w:t>
      </w:r>
      <w:r>
        <w:rPr>
          <w:rFonts w:hint="eastAsia" w:hAnsi="宋体"/>
          <w:color w:val="auto"/>
          <w:sz w:val="28"/>
          <w:szCs w:val="28"/>
        </w:rPr>
        <w:t>电子信箱：</w:t>
      </w:r>
    </w:p>
    <w:p>
      <w:pPr>
        <w:pStyle w:val="21"/>
        <w:adjustRightInd w:val="0"/>
        <w:snapToGrid w:val="0"/>
        <w:spacing w:line="360" w:lineRule="auto"/>
        <w:rPr>
          <w:rFonts w:hAnsi="宋体"/>
          <w:color w:val="auto"/>
          <w:sz w:val="28"/>
          <w:szCs w:val="28"/>
        </w:rPr>
      </w:pPr>
      <w:r>
        <w:rPr>
          <w:rFonts w:hAnsi="宋体"/>
          <w:color w:val="auto"/>
          <w:sz w:val="28"/>
          <w:szCs w:val="28"/>
        </w:rPr>
        <w:t xml:space="preserve">    </w:t>
      </w:r>
      <w:r>
        <w:rPr>
          <w:rFonts w:hint="eastAsia" w:hAnsi="宋体"/>
          <w:color w:val="auto"/>
          <w:sz w:val="28"/>
          <w:szCs w:val="28"/>
        </w:rPr>
        <w:t>单位名称：</w:t>
      </w:r>
      <w:r>
        <w:rPr>
          <w:rFonts w:hAnsi="宋体"/>
          <w:color w:val="auto"/>
          <w:sz w:val="28"/>
          <w:szCs w:val="28"/>
        </w:rPr>
        <w:t>(</w:t>
      </w:r>
      <w:r>
        <w:rPr>
          <w:rFonts w:hint="eastAsia" w:hAnsi="宋体"/>
          <w:color w:val="auto"/>
          <w:sz w:val="28"/>
          <w:szCs w:val="28"/>
        </w:rPr>
        <w:t>章</w:t>
      </w:r>
      <w:r>
        <w:rPr>
          <w:rFonts w:hAnsi="宋体"/>
          <w:color w:val="auto"/>
          <w:sz w:val="28"/>
          <w:szCs w:val="28"/>
        </w:rPr>
        <w:t xml:space="preserve">)               </w:t>
      </w:r>
      <w:r>
        <w:rPr>
          <w:rFonts w:hint="eastAsia" w:hAnsi="宋体"/>
          <w:color w:val="auto"/>
          <w:sz w:val="28"/>
          <w:szCs w:val="28"/>
        </w:rPr>
        <w:t>法定代表人：</w:t>
      </w:r>
      <w:r>
        <w:rPr>
          <w:rFonts w:hAnsi="宋体"/>
          <w:color w:val="auto"/>
          <w:sz w:val="28"/>
          <w:szCs w:val="28"/>
        </w:rPr>
        <w:t xml:space="preserve"> (</w:t>
      </w:r>
      <w:r>
        <w:rPr>
          <w:rFonts w:hint="eastAsia" w:hAnsi="宋体"/>
          <w:color w:val="auto"/>
          <w:sz w:val="28"/>
          <w:szCs w:val="28"/>
        </w:rPr>
        <w:t>签字或盖章</w:t>
      </w:r>
      <w:r>
        <w:rPr>
          <w:rFonts w:hAnsi="宋体"/>
          <w:color w:val="auto"/>
          <w:sz w:val="28"/>
          <w:szCs w:val="28"/>
        </w:rPr>
        <w:t>)</w:t>
      </w:r>
    </w:p>
    <w:p>
      <w:pPr>
        <w:pStyle w:val="21"/>
        <w:spacing w:line="360" w:lineRule="auto"/>
        <w:ind w:firstLine="5460" w:firstLineChars="1950"/>
        <w:rPr>
          <w:rFonts w:hAnsi="宋体"/>
          <w:color w:val="auto"/>
          <w:sz w:val="28"/>
          <w:szCs w:val="28"/>
        </w:rPr>
      </w:pPr>
      <w:r>
        <w:rPr>
          <w:rFonts w:hint="eastAsia" w:hAnsi="宋体"/>
          <w:color w:val="auto"/>
          <w:sz w:val="28"/>
          <w:szCs w:val="28"/>
        </w:rPr>
        <w:t>年</w:t>
      </w:r>
      <w:r>
        <w:rPr>
          <w:rFonts w:hAnsi="宋体"/>
          <w:color w:val="auto"/>
          <w:sz w:val="28"/>
          <w:szCs w:val="28"/>
        </w:rPr>
        <w:t xml:space="preserve">    </w:t>
      </w:r>
      <w:r>
        <w:rPr>
          <w:rFonts w:hint="eastAsia" w:hAnsi="宋体"/>
          <w:color w:val="auto"/>
          <w:sz w:val="28"/>
          <w:szCs w:val="28"/>
        </w:rPr>
        <w:t>月</w:t>
      </w:r>
      <w:r>
        <w:rPr>
          <w:rFonts w:hAnsi="宋体"/>
          <w:color w:val="auto"/>
          <w:sz w:val="28"/>
          <w:szCs w:val="28"/>
        </w:rPr>
        <w:t xml:space="preserve">   </w:t>
      </w:r>
      <w:r>
        <w:rPr>
          <w:rFonts w:hint="eastAsia" w:hAnsi="宋体"/>
          <w:color w:val="auto"/>
          <w:sz w:val="28"/>
          <w:szCs w:val="28"/>
        </w:rPr>
        <w:t>日</w:t>
      </w:r>
    </w:p>
    <w:p>
      <w:pPr>
        <w:pStyle w:val="21"/>
        <w:spacing w:line="520" w:lineRule="exact"/>
        <w:rPr>
          <w:rFonts w:hAnsi="宋体"/>
          <w:color w:val="auto"/>
          <w:sz w:val="28"/>
          <w:szCs w:val="28"/>
        </w:rPr>
      </w:pPr>
      <w:r>
        <w:rPr>
          <w:rFonts w:hAnsi="宋体"/>
          <w:color w:val="auto"/>
          <w:sz w:val="28"/>
          <w:szCs w:val="28"/>
        </w:rPr>
        <w:t xml:space="preserve">  </w:t>
      </w:r>
      <w:r>
        <w:rPr>
          <w:rFonts w:hint="eastAsia" w:hAnsi="宋体"/>
          <w:color w:val="auto"/>
          <w:sz w:val="28"/>
          <w:szCs w:val="28"/>
        </w:rPr>
        <w:t>被委托人《居民身份证》：</w:t>
      </w:r>
    </w:p>
    <w:p>
      <w:pPr>
        <w:pStyle w:val="21"/>
        <w:spacing w:line="480" w:lineRule="auto"/>
        <w:rPr>
          <w:rFonts w:hAnsi="宋体"/>
          <w:color w:val="auto"/>
          <w:sz w:val="24"/>
          <w:szCs w:val="24"/>
        </w:rPr>
      </w:pPr>
      <w:r>
        <w:rPr>
          <w:rFonts w:hAnsi="宋体"/>
          <w:color w:val="auto"/>
          <w:sz w:val="24"/>
          <w:szCs w:val="24"/>
          <w:u w:val="single"/>
        </w:rPr>
        <w:t xml:space="preserve">                                                                           </w:t>
      </w:r>
    </w:p>
    <w:tbl>
      <w:tblPr>
        <w:tblStyle w:val="39"/>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088" w:type="dxa"/>
            <w:vAlign w:val="center"/>
          </w:tcPr>
          <w:p>
            <w:pPr>
              <w:pStyle w:val="21"/>
              <w:spacing w:line="360" w:lineRule="auto"/>
              <w:jc w:val="center"/>
              <w:rPr>
                <w:rFonts w:hAnsi="宋体"/>
                <w:b/>
                <w:color w:val="auto"/>
                <w:szCs w:val="21"/>
              </w:rPr>
            </w:pPr>
            <w:r>
              <w:rPr>
                <w:rFonts w:hint="eastAsia" w:hAnsi="宋体"/>
                <w:b/>
                <w:color w:val="auto"/>
                <w:szCs w:val="21"/>
              </w:rPr>
              <w:t>请注意</w:t>
            </w:r>
            <w:r>
              <w:rPr>
                <w:rFonts w:hAnsi="宋体"/>
                <w:b/>
                <w:color w:val="auto"/>
                <w:szCs w:val="21"/>
              </w:rPr>
              <w:t>!!!</w:t>
            </w:r>
          </w:p>
          <w:p>
            <w:pPr>
              <w:pStyle w:val="21"/>
              <w:spacing w:line="360" w:lineRule="auto"/>
              <w:jc w:val="center"/>
              <w:rPr>
                <w:rFonts w:hAnsi="宋体"/>
                <w:b/>
                <w:color w:val="auto"/>
                <w:szCs w:val="21"/>
              </w:rPr>
            </w:pPr>
            <w:r>
              <w:rPr>
                <w:rFonts w:hint="eastAsia" w:hAnsi="宋体"/>
                <w:b/>
                <w:color w:val="auto"/>
                <w:szCs w:val="21"/>
              </w:rPr>
              <w:t>将身份证原件正、反面扫描件效在该框上。</w:t>
            </w:r>
          </w:p>
        </w:tc>
      </w:tr>
    </w:tbl>
    <w:p>
      <w:pPr>
        <w:pStyle w:val="21"/>
        <w:rPr>
          <w:color w:val="auto"/>
          <w:sz w:val="28"/>
          <w:szCs w:val="28"/>
        </w:rPr>
      </w:pPr>
      <w:r>
        <w:rPr>
          <w:rFonts w:ascii="&amp;quot" w:hAnsi="&amp;quot" w:cs="宋体"/>
          <w:b/>
          <w:bCs/>
          <w:color w:val="auto"/>
          <w:kern w:val="0"/>
          <w:sz w:val="36"/>
          <w:szCs w:val="36"/>
        </w:rPr>
        <w:br w:type="page"/>
      </w:r>
      <w:r>
        <w:rPr>
          <w:rFonts w:hint="eastAsia"/>
          <w:color w:val="auto"/>
          <w:sz w:val="28"/>
          <w:szCs w:val="28"/>
        </w:rPr>
        <w:t>附件</w:t>
      </w:r>
      <w:r>
        <w:rPr>
          <w:color w:val="auto"/>
          <w:sz w:val="28"/>
          <w:szCs w:val="28"/>
        </w:rPr>
        <w:t xml:space="preserve">15        </w:t>
      </w:r>
    </w:p>
    <w:p>
      <w:pPr>
        <w:pStyle w:val="21"/>
        <w:jc w:val="center"/>
        <w:outlineLvl w:val="1"/>
        <w:rPr>
          <w:rFonts w:hAnsi="宋体"/>
          <w:b/>
          <w:bCs/>
          <w:color w:val="auto"/>
          <w:sz w:val="28"/>
          <w:szCs w:val="28"/>
        </w:rPr>
      </w:pPr>
      <w:bookmarkStart w:id="75" w:name="_Toc10253"/>
      <w:bookmarkStart w:id="76" w:name="_Toc10524"/>
      <w:r>
        <w:rPr>
          <w:rFonts w:hint="eastAsia" w:hAnsi="宋体"/>
          <w:b/>
          <w:bCs/>
          <w:color w:val="auto"/>
          <w:sz w:val="28"/>
          <w:szCs w:val="28"/>
        </w:rPr>
        <w:t>中小企业声明函（货物）</w:t>
      </w:r>
      <w:bookmarkEnd w:id="75"/>
      <w:bookmarkEnd w:id="76"/>
    </w:p>
    <w:p>
      <w:pPr>
        <w:pStyle w:val="16"/>
        <w:spacing w:before="55" w:line="500" w:lineRule="exact"/>
        <w:ind w:right="415" w:firstLine="640"/>
        <w:rPr>
          <w:rFonts w:ascii="宋体"/>
          <w:b w:val="0"/>
          <w:bCs w:val="0"/>
          <w:color w:val="auto"/>
          <w:sz w:val="28"/>
          <w:u w:val="none"/>
          <w:lang w:val="en-US"/>
        </w:rPr>
      </w:pPr>
      <w:r>
        <w:rPr>
          <w:rFonts w:hint="eastAsia" w:ascii="宋体" w:hAnsi="宋体"/>
          <w:b w:val="0"/>
          <w:bCs w:val="0"/>
          <w:color w:val="auto"/>
          <w:sz w:val="28"/>
          <w:lang w:val="en-US"/>
        </w:rPr>
        <w:t>本公司（联合体）郑重声明，根据《政府采购促进中小企业发</w:t>
      </w:r>
      <w:r>
        <w:rPr>
          <w:rFonts w:hint="eastAsia" w:ascii="宋体" w:hAnsi="宋体"/>
          <w:b w:val="0"/>
          <w:bCs w:val="0"/>
          <w:color w:val="auto"/>
          <w:sz w:val="28"/>
          <w:u w:val="none"/>
          <w:lang w:val="en-US"/>
        </w:rPr>
        <w:t>展管理办法》（财库﹝</w:t>
      </w:r>
      <w:r>
        <w:rPr>
          <w:rFonts w:ascii="宋体" w:hAnsi="宋体"/>
          <w:b w:val="0"/>
          <w:bCs w:val="0"/>
          <w:color w:val="auto"/>
          <w:sz w:val="28"/>
          <w:u w:val="none"/>
          <w:lang w:val="en-US"/>
        </w:rPr>
        <w:t>2020</w:t>
      </w:r>
      <w:r>
        <w:rPr>
          <w:rFonts w:hint="eastAsia" w:ascii="宋体" w:hAnsi="宋体"/>
          <w:b w:val="0"/>
          <w:bCs w:val="0"/>
          <w:color w:val="auto"/>
          <w:sz w:val="28"/>
          <w:u w:val="none"/>
          <w:lang w:val="en-US"/>
        </w:rPr>
        <w:t>﹞</w:t>
      </w:r>
      <w:r>
        <w:rPr>
          <w:rFonts w:ascii="宋体" w:hAnsi="宋体"/>
          <w:b w:val="0"/>
          <w:bCs w:val="0"/>
          <w:color w:val="auto"/>
          <w:sz w:val="28"/>
          <w:u w:val="none"/>
          <w:lang w:val="en-US"/>
        </w:rPr>
        <w:t>46</w:t>
      </w:r>
      <w:r>
        <w:rPr>
          <w:rFonts w:hint="eastAsia" w:ascii="宋体" w:hAnsi="宋体"/>
          <w:b w:val="0"/>
          <w:bCs w:val="0"/>
          <w:color w:val="auto"/>
          <w:sz w:val="28"/>
          <w:u w:val="none"/>
          <w:lang w:val="en-US"/>
        </w:rPr>
        <w:t>号）的规定，本公司（联合体）参加</w:t>
      </w:r>
      <w:r>
        <w:rPr>
          <w:rFonts w:ascii="宋体" w:hAnsi="宋体"/>
          <w:b w:val="0"/>
          <w:bCs w:val="0"/>
          <w:color w:val="auto"/>
          <w:sz w:val="28"/>
          <w:u w:val="none"/>
          <w:lang w:val="en-US"/>
        </w:rPr>
        <w:t>__________(</w:t>
      </w:r>
      <w:r>
        <w:rPr>
          <w:rFonts w:hint="eastAsia" w:ascii="宋体" w:hAnsi="宋体"/>
          <w:b w:val="0"/>
          <w:bCs w:val="0"/>
          <w:color w:val="auto"/>
          <w:sz w:val="28"/>
          <w:u w:val="none"/>
          <w:lang w:val="en-US"/>
        </w:rPr>
        <w:t>单位名称）的</w:t>
      </w:r>
      <w:r>
        <w:rPr>
          <w:rFonts w:ascii="宋体" w:hAnsi="宋体"/>
          <w:b w:val="0"/>
          <w:bCs w:val="0"/>
          <w:color w:val="auto"/>
          <w:sz w:val="28"/>
          <w:u w:val="none"/>
          <w:lang w:val="en-US"/>
        </w:rPr>
        <w:t>______________________(</w:t>
      </w:r>
      <w:r>
        <w:rPr>
          <w:rFonts w:hint="eastAsia" w:ascii="宋体" w:hAnsi="宋体"/>
          <w:b w:val="0"/>
          <w:bCs w:val="0"/>
          <w:color w:val="auto"/>
          <w:sz w:val="28"/>
          <w:u w:val="none"/>
          <w:lang w:val="en-US"/>
        </w:rPr>
        <w:t>项目名称）采购活动，提供的货物全部由符合政策要求的中小企业制造。相关企业（含联合体中的中小企业、签订分包意向议的中小企业）</w:t>
      </w:r>
      <w:r>
        <w:rPr>
          <w:rFonts w:ascii="宋体" w:hAnsi="宋体"/>
          <w:b w:val="0"/>
          <w:bCs w:val="0"/>
          <w:color w:val="auto"/>
          <w:sz w:val="28"/>
          <w:u w:val="none"/>
          <w:lang w:val="en-US"/>
        </w:rPr>
        <w:t xml:space="preserve"> </w:t>
      </w:r>
      <w:r>
        <w:rPr>
          <w:rFonts w:hint="eastAsia" w:ascii="宋体" w:hAnsi="宋体"/>
          <w:b w:val="0"/>
          <w:bCs w:val="0"/>
          <w:color w:val="auto"/>
          <w:sz w:val="28"/>
          <w:u w:val="none"/>
          <w:lang w:val="en-US"/>
        </w:rPr>
        <w:t>的具体情况如下：</w:t>
      </w:r>
    </w:p>
    <w:p>
      <w:pPr>
        <w:pStyle w:val="150"/>
        <w:numPr>
          <w:ilvl w:val="0"/>
          <w:numId w:val="6"/>
        </w:numPr>
        <w:tabs>
          <w:tab w:val="left" w:pos="1183"/>
          <w:tab w:val="left" w:pos="1484"/>
          <w:tab w:val="left" w:pos="4662"/>
          <w:tab w:val="left" w:pos="6903"/>
        </w:tabs>
        <w:autoSpaceDE w:val="0"/>
        <w:autoSpaceDN w:val="0"/>
        <w:spacing w:line="500" w:lineRule="exact"/>
        <w:ind w:right="169" w:firstLine="655" w:firstLineChars="0"/>
        <w:jc w:val="left"/>
        <w:rPr>
          <w:rFonts w:ascii="宋体"/>
          <w:color w:val="auto"/>
          <w:sz w:val="28"/>
          <w:szCs w:val="28"/>
          <w:u w:val="none"/>
        </w:rPr>
      </w:pPr>
      <w:r>
        <w:rPr>
          <w:rFonts w:ascii="宋体" w:hAnsi="宋体"/>
          <w:color w:val="auto"/>
          <w:sz w:val="28"/>
          <w:szCs w:val="28"/>
          <w:u w:val="none"/>
        </w:rPr>
        <w:t>__________</w:t>
      </w:r>
      <w:r>
        <w:rPr>
          <w:rFonts w:hint="eastAsia" w:ascii="宋体" w:hAnsi="宋体"/>
          <w:color w:val="auto"/>
          <w:sz w:val="28"/>
          <w:szCs w:val="28"/>
          <w:u w:val="none"/>
        </w:rPr>
        <w:t>（标的名称）</w:t>
      </w:r>
      <w:r>
        <w:rPr>
          <w:rFonts w:ascii="宋体" w:hAnsi="宋体"/>
          <w:color w:val="auto"/>
          <w:sz w:val="28"/>
          <w:szCs w:val="28"/>
          <w:u w:val="none"/>
        </w:rPr>
        <w:t xml:space="preserve"> </w:t>
      </w:r>
      <w:r>
        <w:rPr>
          <w:rFonts w:hint="eastAsia" w:ascii="宋体" w:hAnsi="宋体"/>
          <w:color w:val="auto"/>
          <w:sz w:val="28"/>
          <w:szCs w:val="28"/>
          <w:u w:val="none"/>
        </w:rPr>
        <w:t>，属于</w:t>
      </w:r>
      <w:r>
        <w:rPr>
          <w:rFonts w:ascii="宋体" w:hAnsi="宋体"/>
          <w:color w:val="auto"/>
          <w:sz w:val="28"/>
          <w:szCs w:val="28"/>
          <w:u w:val="none"/>
        </w:rPr>
        <w:t>______</w:t>
      </w:r>
      <w:r>
        <w:rPr>
          <w:rFonts w:hint="eastAsia" w:ascii="宋体" w:hAnsi="宋体"/>
          <w:color w:val="auto"/>
          <w:sz w:val="28"/>
          <w:szCs w:val="28"/>
          <w:u w:val="none"/>
        </w:rPr>
        <w:t>（采购文件中明确的所属行业）行业；制造商为</w:t>
      </w:r>
      <w:r>
        <w:rPr>
          <w:rFonts w:ascii="宋体" w:hAnsi="宋体"/>
          <w:color w:val="auto"/>
          <w:sz w:val="28"/>
          <w:szCs w:val="28"/>
          <w:u w:val="none"/>
        </w:rPr>
        <w:t>_______</w:t>
      </w:r>
      <w:r>
        <w:rPr>
          <w:rFonts w:hint="eastAsia" w:ascii="宋体" w:hAnsi="宋体"/>
          <w:color w:val="auto"/>
          <w:sz w:val="28"/>
          <w:szCs w:val="28"/>
          <w:u w:val="none"/>
        </w:rPr>
        <w:t>（企业名称），从业人员</w:t>
      </w:r>
      <w:r>
        <w:rPr>
          <w:rFonts w:ascii="宋体" w:hAnsi="宋体"/>
          <w:color w:val="auto"/>
          <w:sz w:val="28"/>
          <w:szCs w:val="28"/>
          <w:u w:val="none"/>
        </w:rPr>
        <w:t>_____</w:t>
      </w:r>
      <w:r>
        <w:rPr>
          <w:rFonts w:hint="eastAsia" w:ascii="宋体" w:hAnsi="宋体"/>
          <w:color w:val="auto"/>
          <w:sz w:val="28"/>
          <w:szCs w:val="28"/>
          <w:u w:val="none"/>
        </w:rPr>
        <w:t>人，营业收入为</w:t>
      </w:r>
      <w:r>
        <w:rPr>
          <w:rFonts w:ascii="宋体" w:hAnsi="宋体"/>
          <w:color w:val="auto"/>
          <w:sz w:val="28"/>
          <w:szCs w:val="28"/>
          <w:u w:val="none"/>
        </w:rPr>
        <w:t>_____</w:t>
      </w:r>
      <w:r>
        <w:rPr>
          <w:rFonts w:hint="eastAsia" w:ascii="宋体" w:hAnsi="宋体"/>
          <w:color w:val="auto"/>
          <w:sz w:val="28"/>
          <w:szCs w:val="28"/>
          <w:u w:val="none"/>
        </w:rPr>
        <w:t>万元，资产总额为</w:t>
      </w:r>
      <w:r>
        <w:rPr>
          <w:rFonts w:ascii="宋体" w:hAnsi="宋体"/>
          <w:color w:val="auto"/>
          <w:sz w:val="28"/>
          <w:szCs w:val="28"/>
          <w:u w:val="none"/>
        </w:rPr>
        <w:t>_____</w:t>
      </w:r>
      <w:r>
        <w:rPr>
          <w:rFonts w:hint="eastAsia" w:ascii="宋体" w:hAnsi="宋体"/>
          <w:color w:val="auto"/>
          <w:sz w:val="28"/>
          <w:szCs w:val="28"/>
          <w:u w:val="none"/>
        </w:rPr>
        <w:t>万元，属于</w:t>
      </w:r>
      <w:r>
        <w:rPr>
          <w:rFonts w:ascii="宋体" w:hAnsi="宋体"/>
          <w:color w:val="auto"/>
          <w:sz w:val="28"/>
          <w:szCs w:val="28"/>
          <w:u w:val="none"/>
        </w:rPr>
        <w:t>_____</w:t>
      </w:r>
      <w:r>
        <w:rPr>
          <w:rFonts w:hint="eastAsia" w:ascii="宋体" w:hAnsi="宋体"/>
          <w:color w:val="auto"/>
          <w:sz w:val="28"/>
          <w:szCs w:val="28"/>
          <w:u w:val="none"/>
        </w:rPr>
        <w:t>（中型企业、小型企业、微型企业）</w:t>
      </w:r>
      <w:r>
        <w:rPr>
          <w:rFonts w:ascii="宋体" w:hAnsi="宋体"/>
          <w:color w:val="auto"/>
          <w:sz w:val="28"/>
          <w:szCs w:val="28"/>
          <w:u w:val="none"/>
        </w:rPr>
        <w:t>;</w:t>
      </w:r>
    </w:p>
    <w:p>
      <w:pPr>
        <w:pStyle w:val="150"/>
        <w:numPr>
          <w:ilvl w:val="0"/>
          <w:numId w:val="6"/>
        </w:numPr>
        <w:tabs>
          <w:tab w:val="left" w:pos="1183"/>
          <w:tab w:val="left" w:pos="4362"/>
          <w:tab w:val="left" w:pos="6577"/>
        </w:tabs>
        <w:autoSpaceDE w:val="0"/>
        <w:autoSpaceDN w:val="0"/>
        <w:spacing w:line="500" w:lineRule="exact"/>
        <w:ind w:right="169" w:firstLine="655" w:firstLineChars="0"/>
        <w:jc w:val="left"/>
        <w:rPr>
          <w:rFonts w:ascii="宋体"/>
          <w:color w:val="auto"/>
          <w:sz w:val="28"/>
          <w:szCs w:val="28"/>
          <w:u w:val="none"/>
        </w:rPr>
      </w:pPr>
      <w:r>
        <w:rPr>
          <w:rFonts w:ascii="宋体" w:hAnsi="宋体"/>
          <w:color w:val="auto"/>
          <w:sz w:val="28"/>
          <w:szCs w:val="28"/>
          <w:u w:val="none"/>
        </w:rPr>
        <w:t>__________</w:t>
      </w:r>
      <w:r>
        <w:rPr>
          <w:rFonts w:hint="eastAsia" w:ascii="宋体" w:hAnsi="宋体"/>
          <w:color w:val="auto"/>
          <w:sz w:val="28"/>
          <w:szCs w:val="28"/>
          <w:u w:val="none"/>
        </w:rPr>
        <w:t>（标的名称），</w:t>
      </w:r>
      <w:r>
        <w:rPr>
          <w:rFonts w:ascii="宋体" w:hAnsi="宋体"/>
          <w:color w:val="auto"/>
          <w:sz w:val="28"/>
          <w:szCs w:val="28"/>
          <w:u w:val="none"/>
        </w:rPr>
        <w:t xml:space="preserve"> </w:t>
      </w:r>
      <w:r>
        <w:rPr>
          <w:rFonts w:hint="eastAsia" w:ascii="宋体" w:hAnsi="宋体"/>
          <w:color w:val="auto"/>
          <w:sz w:val="28"/>
          <w:szCs w:val="28"/>
          <w:u w:val="none"/>
        </w:rPr>
        <w:t>属于</w:t>
      </w:r>
      <w:r>
        <w:rPr>
          <w:rFonts w:ascii="宋体" w:hAnsi="宋体"/>
          <w:color w:val="auto"/>
          <w:sz w:val="28"/>
          <w:szCs w:val="28"/>
          <w:u w:val="none"/>
        </w:rPr>
        <w:t>______</w:t>
      </w:r>
      <w:r>
        <w:rPr>
          <w:rFonts w:hint="eastAsia" w:ascii="宋体" w:hAnsi="宋体"/>
          <w:color w:val="auto"/>
          <w:sz w:val="28"/>
          <w:szCs w:val="28"/>
          <w:u w:val="none"/>
        </w:rPr>
        <w:t>（采购文件中明确的所属行业）行业；制造商为</w:t>
      </w:r>
      <w:r>
        <w:rPr>
          <w:rFonts w:ascii="宋体" w:hAnsi="宋体"/>
          <w:color w:val="auto"/>
          <w:sz w:val="28"/>
          <w:szCs w:val="28"/>
          <w:u w:val="none"/>
        </w:rPr>
        <w:t>_____</w:t>
      </w:r>
      <w:r>
        <w:rPr>
          <w:rFonts w:hint="eastAsia" w:ascii="宋体" w:hAnsi="宋体"/>
          <w:color w:val="auto"/>
          <w:sz w:val="28"/>
          <w:szCs w:val="28"/>
          <w:u w:val="none"/>
        </w:rPr>
        <w:t>（企业名称），从业人员</w:t>
      </w:r>
      <w:r>
        <w:rPr>
          <w:rFonts w:ascii="宋体" w:hAnsi="宋体"/>
          <w:color w:val="auto"/>
          <w:sz w:val="28"/>
          <w:szCs w:val="28"/>
          <w:u w:val="none"/>
        </w:rPr>
        <w:t>______</w:t>
      </w:r>
      <w:r>
        <w:rPr>
          <w:rFonts w:hint="eastAsia" w:ascii="宋体" w:hAnsi="宋体"/>
          <w:color w:val="auto"/>
          <w:sz w:val="28"/>
          <w:szCs w:val="28"/>
          <w:u w:val="none"/>
        </w:rPr>
        <w:t>人，营业收入为</w:t>
      </w:r>
      <w:r>
        <w:rPr>
          <w:rFonts w:ascii="宋体" w:hAnsi="宋体"/>
          <w:color w:val="auto"/>
          <w:sz w:val="28"/>
          <w:szCs w:val="28"/>
          <w:u w:val="none"/>
        </w:rPr>
        <w:t>_____</w:t>
      </w:r>
      <w:r>
        <w:rPr>
          <w:rFonts w:hint="eastAsia" w:ascii="宋体" w:hAnsi="宋体"/>
          <w:color w:val="auto"/>
          <w:sz w:val="28"/>
          <w:szCs w:val="28"/>
          <w:u w:val="none"/>
        </w:rPr>
        <w:t>万元，资产总额为</w:t>
      </w:r>
      <w:r>
        <w:rPr>
          <w:rFonts w:ascii="宋体" w:hAnsi="宋体"/>
          <w:color w:val="auto"/>
          <w:sz w:val="28"/>
          <w:szCs w:val="28"/>
          <w:u w:val="none"/>
        </w:rPr>
        <w:t xml:space="preserve"> ____</w:t>
      </w:r>
      <w:r>
        <w:rPr>
          <w:rFonts w:hint="eastAsia" w:ascii="宋体" w:hAnsi="宋体"/>
          <w:color w:val="auto"/>
          <w:sz w:val="28"/>
          <w:szCs w:val="28"/>
          <w:u w:val="none"/>
        </w:rPr>
        <w:t>万元，属于</w:t>
      </w:r>
      <w:r>
        <w:rPr>
          <w:rFonts w:ascii="宋体" w:hAnsi="宋体"/>
          <w:color w:val="auto"/>
          <w:sz w:val="28"/>
          <w:szCs w:val="28"/>
          <w:u w:val="none"/>
        </w:rPr>
        <w:t>____</w:t>
      </w:r>
      <w:r>
        <w:rPr>
          <w:rFonts w:hint="eastAsia" w:ascii="宋体" w:hAnsi="宋体"/>
          <w:color w:val="auto"/>
          <w:sz w:val="28"/>
          <w:szCs w:val="28"/>
          <w:u w:val="none"/>
        </w:rPr>
        <w:t>（中型企业、小型企业、微型企业）</w:t>
      </w:r>
      <w:r>
        <w:rPr>
          <w:rFonts w:ascii="宋体" w:hAnsi="宋体"/>
          <w:color w:val="auto"/>
          <w:sz w:val="28"/>
          <w:szCs w:val="28"/>
          <w:u w:val="none"/>
        </w:rPr>
        <w:t>;</w:t>
      </w:r>
    </w:p>
    <w:p>
      <w:pPr>
        <w:pStyle w:val="16"/>
        <w:spacing w:line="500" w:lineRule="exact"/>
        <w:ind w:left="860"/>
        <w:rPr>
          <w:rFonts w:ascii="宋体"/>
          <w:b w:val="0"/>
          <w:bCs w:val="0"/>
          <w:color w:val="auto"/>
          <w:sz w:val="28"/>
          <w:u w:val="none"/>
          <w:lang w:val="en-US"/>
        </w:rPr>
      </w:pPr>
      <w:r>
        <w:rPr>
          <w:rFonts w:hint="eastAsia" w:ascii="宋体"/>
          <w:b w:val="0"/>
          <w:bCs w:val="0"/>
          <w:color w:val="auto"/>
          <w:sz w:val="28"/>
          <w:u w:val="none"/>
          <w:lang w:val="en-US"/>
        </w:rPr>
        <w:t>……</w:t>
      </w:r>
    </w:p>
    <w:p>
      <w:pPr>
        <w:pStyle w:val="16"/>
        <w:spacing w:before="105" w:line="500" w:lineRule="exact"/>
        <w:ind w:right="417" w:firstLine="645"/>
        <w:rPr>
          <w:rFonts w:ascii="宋体"/>
          <w:b w:val="0"/>
          <w:bCs w:val="0"/>
          <w:color w:val="auto"/>
          <w:sz w:val="28"/>
          <w:lang w:val="en-US"/>
        </w:rPr>
      </w:pPr>
      <w:r>
        <w:rPr>
          <w:rFonts w:hint="eastAsia" w:ascii="宋体" w:hAnsi="宋体"/>
          <w:b w:val="0"/>
          <w:bCs w:val="0"/>
          <w:color w:val="auto"/>
          <w:sz w:val="28"/>
          <w:lang w:val="en-US"/>
        </w:rPr>
        <w:t>以上企业，不属于大企业的分支机构，不存在控股股东为大企业的情形，也不存在与大企业的负责人为同一人的情形。</w:t>
      </w:r>
    </w:p>
    <w:p>
      <w:pPr>
        <w:pStyle w:val="16"/>
        <w:spacing w:line="500" w:lineRule="exact"/>
        <w:ind w:right="372" w:firstLine="645"/>
        <w:rPr>
          <w:rFonts w:ascii="宋体"/>
          <w:b w:val="0"/>
          <w:bCs w:val="0"/>
          <w:color w:val="auto"/>
          <w:sz w:val="28"/>
          <w:lang w:val="en-US"/>
        </w:rPr>
      </w:pPr>
      <w:r>
        <w:rPr>
          <w:rFonts w:hint="eastAsia" w:ascii="宋体" w:hAnsi="宋体"/>
          <w:b w:val="0"/>
          <w:bCs w:val="0"/>
          <w:color w:val="auto"/>
          <w:sz w:val="28"/>
          <w:lang w:val="en-US"/>
        </w:rPr>
        <w:t>本企业对上述声明内容的真实性负责。如有虚假，将依法承担相应责任。</w:t>
      </w:r>
    </w:p>
    <w:p>
      <w:pPr>
        <w:pStyle w:val="16"/>
        <w:spacing w:before="35" w:line="500" w:lineRule="exact"/>
        <w:ind w:left="4060" w:right="2166"/>
        <w:rPr>
          <w:rFonts w:ascii="宋体"/>
          <w:b w:val="0"/>
          <w:bCs w:val="0"/>
          <w:color w:val="auto"/>
          <w:sz w:val="28"/>
          <w:lang w:val="en-US"/>
        </w:rPr>
      </w:pPr>
    </w:p>
    <w:p>
      <w:pPr>
        <w:pStyle w:val="16"/>
        <w:spacing w:before="35" w:line="500" w:lineRule="exact"/>
        <w:ind w:left="4060" w:right="2166"/>
        <w:rPr>
          <w:rFonts w:ascii="宋体"/>
          <w:b w:val="0"/>
          <w:bCs w:val="0"/>
          <w:color w:val="auto"/>
          <w:sz w:val="28"/>
          <w:lang w:val="en-US"/>
        </w:rPr>
      </w:pPr>
      <w:r>
        <w:rPr>
          <w:rFonts w:hint="eastAsia" w:ascii="宋体" w:hAnsi="宋体"/>
          <w:b w:val="0"/>
          <w:bCs w:val="0"/>
          <w:color w:val="auto"/>
          <w:sz w:val="28"/>
          <w:lang w:val="en-US"/>
        </w:rPr>
        <w:t>企业名称（盖章）：</w:t>
      </w:r>
    </w:p>
    <w:p>
      <w:pPr>
        <w:pStyle w:val="16"/>
        <w:spacing w:before="35" w:line="500" w:lineRule="exact"/>
        <w:ind w:left="4060" w:right="2166"/>
        <w:rPr>
          <w:rFonts w:ascii="宋体"/>
          <w:b w:val="0"/>
          <w:bCs w:val="0"/>
          <w:color w:val="auto"/>
          <w:sz w:val="28"/>
          <w:lang w:val="en-US"/>
        </w:rPr>
      </w:pPr>
      <w:r>
        <w:rPr>
          <w:rFonts w:hint="eastAsia" w:ascii="宋体" w:hAnsi="宋体"/>
          <w:b w:val="0"/>
          <w:bCs w:val="0"/>
          <w:color w:val="auto"/>
          <w:sz w:val="28"/>
          <w:lang w:val="en-US"/>
        </w:rPr>
        <w:t>日</w:t>
      </w:r>
      <w:r>
        <w:rPr>
          <w:rFonts w:ascii="宋体" w:hAnsi="宋体"/>
          <w:b w:val="0"/>
          <w:bCs w:val="0"/>
          <w:color w:val="auto"/>
          <w:sz w:val="28"/>
          <w:lang w:val="en-US"/>
        </w:rPr>
        <w:t xml:space="preserve"> </w:t>
      </w:r>
      <w:r>
        <w:rPr>
          <w:rFonts w:hint="eastAsia" w:ascii="宋体" w:hAnsi="宋体"/>
          <w:b w:val="0"/>
          <w:bCs w:val="0"/>
          <w:color w:val="auto"/>
          <w:sz w:val="28"/>
          <w:lang w:val="en-US"/>
        </w:rPr>
        <w:t>期：</w:t>
      </w:r>
    </w:p>
    <w:p>
      <w:pPr>
        <w:spacing w:line="400" w:lineRule="exact"/>
        <w:ind w:left="20"/>
        <w:jc w:val="center"/>
        <w:rPr>
          <w:rFonts w:ascii="宋体"/>
          <w:color w:val="auto"/>
          <w:sz w:val="18"/>
        </w:rPr>
      </w:pPr>
      <w:r>
        <w:rPr>
          <w:color w:val="auto"/>
        </w:rPr>
        <w:t xml:space="preserve"> (</w:t>
      </w:r>
      <w:r>
        <w:rPr>
          <w:rFonts w:hint="eastAsia" w:ascii="宋体"/>
          <w:color w:val="auto"/>
          <w:sz w:val="18"/>
        </w:rPr>
        <w:t>从业人员、营业收入、资产总额填报上一年度数据，无上一年度数据的新成立企业可不填报。</w:t>
      </w:r>
      <w:r>
        <w:rPr>
          <w:rFonts w:ascii="宋体"/>
          <w:color w:val="auto"/>
          <w:sz w:val="18"/>
        </w:rPr>
        <w:t>)</w:t>
      </w:r>
    </w:p>
    <w:p>
      <w:pPr>
        <w:pStyle w:val="16"/>
        <w:spacing w:before="55" w:line="400" w:lineRule="exact"/>
        <w:ind w:right="415" w:firstLine="640"/>
        <w:rPr>
          <w:rFonts w:ascii="宋体"/>
          <w:b w:val="0"/>
          <w:bCs w:val="0"/>
          <w:color w:val="auto"/>
          <w:sz w:val="28"/>
          <w:lang w:val="en-US"/>
        </w:rPr>
      </w:pPr>
    </w:p>
    <w:p>
      <w:pPr>
        <w:spacing w:line="360" w:lineRule="auto"/>
        <w:rPr>
          <w:rFonts w:hint="eastAsia" w:ascii="宋体" w:hAnsi="宋体"/>
          <w:color w:val="auto"/>
          <w:sz w:val="28"/>
          <w:szCs w:val="28"/>
        </w:rPr>
      </w:pPr>
    </w:p>
    <w:p>
      <w:pPr>
        <w:spacing w:line="360" w:lineRule="auto"/>
        <w:rPr>
          <w:rFonts w:ascii="宋体"/>
          <w:color w:val="auto"/>
          <w:sz w:val="28"/>
          <w:szCs w:val="28"/>
        </w:rPr>
      </w:pPr>
      <w:r>
        <w:rPr>
          <w:rFonts w:hint="eastAsia" w:ascii="宋体" w:hAnsi="宋体"/>
          <w:color w:val="auto"/>
          <w:sz w:val="28"/>
          <w:szCs w:val="28"/>
        </w:rPr>
        <w:t>附件</w:t>
      </w:r>
      <w:r>
        <w:rPr>
          <w:rFonts w:ascii="宋体" w:hAnsi="宋体"/>
          <w:color w:val="auto"/>
          <w:sz w:val="28"/>
          <w:szCs w:val="28"/>
        </w:rPr>
        <w:t>16</w:t>
      </w:r>
      <w:r>
        <w:rPr>
          <w:rFonts w:hint="eastAsia" w:ascii="宋体" w:hAnsi="宋体"/>
          <w:color w:val="auto"/>
          <w:sz w:val="28"/>
          <w:szCs w:val="28"/>
        </w:rPr>
        <w:t>：</w:t>
      </w:r>
    </w:p>
    <w:p>
      <w:pPr>
        <w:jc w:val="center"/>
        <w:outlineLvl w:val="1"/>
        <w:rPr>
          <w:b/>
          <w:color w:val="auto"/>
          <w:sz w:val="28"/>
        </w:rPr>
      </w:pPr>
      <w:bookmarkStart w:id="77" w:name="_Toc25457"/>
      <w:bookmarkStart w:id="78" w:name="_Toc28695"/>
      <w:r>
        <w:rPr>
          <w:rFonts w:hint="eastAsia"/>
          <w:b/>
          <w:color w:val="auto"/>
          <w:sz w:val="28"/>
        </w:rPr>
        <w:t>残疾人福利性单位声明函</w:t>
      </w:r>
      <w:bookmarkEnd w:id="77"/>
      <w:bookmarkEnd w:id="78"/>
    </w:p>
    <w:p>
      <w:pPr>
        <w:rPr>
          <w:rStyle w:val="185"/>
          <w:rFonts w:ascii="宋体"/>
          <w:bCs/>
          <w:color w:val="auto"/>
          <w:sz w:val="28"/>
          <w:szCs w:val="28"/>
        </w:rPr>
      </w:pPr>
    </w:p>
    <w:p>
      <w:pPr>
        <w:ind w:firstLine="560" w:firstLineChars="200"/>
        <w:rPr>
          <w:rStyle w:val="185"/>
          <w:rFonts w:ascii="宋体"/>
          <w:bCs/>
          <w:color w:val="auto"/>
          <w:sz w:val="28"/>
          <w:szCs w:val="28"/>
        </w:rPr>
      </w:pPr>
      <w:r>
        <w:rPr>
          <w:rStyle w:val="185"/>
          <w:rFonts w:hint="eastAsia" w:ascii="宋体" w:hAnsi="宋体"/>
          <w:bCs/>
          <w:color w:val="auto"/>
          <w:sz w:val="28"/>
          <w:szCs w:val="28"/>
        </w:rPr>
        <w:t>本单位郑重声明，根据《财政部</w:t>
      </w:r>
      <w:r>
        <w:rPr>
          <w:rStyle w:val="185"/>
          <w:rFonts w:ascii="宋体" w:hAnsi="宋体"/>
          <w:bCs/>
          <w:color w:val="auto"/>
          <w:sz w:val="28"/>
          <w:szCs w:val="28"/>
        </w:rPr>
        <w:t xml:space="preserve"> </w:t>
      </w:r>
      <w:r>
        <w:rPr>
          <w:rStyle w:val="185"/>
          <w:rFonts w:hint="eastAsia" w:ascii="宋体" w:hAnsi="宋体"/>
          <w:bCs/>
          <w:color w:val="auto"/>
          <w:sz w:val="28"/>
          <w:szCs w:val="28"/>
        </w:rPr>
        <w:t>民政部</w:t>
      </w:r>
      <w:r>
        <w:rPr>
          <w:rStyle w:val="185"/>
          <w:rFonts w:ascii="宋体" w:hAnsi="宋体"/>
          <w:bCs/>
          <w:color w:val="auto"/>
          <w:sz w:val="28"/>
          <w:szCs w:val="28"/>
        </w:rPr>
        <w:t xml:space="preserve"> </w:t>
      </w:r>
      <w:r>
        <w:rPr>
          <w:rStyle w:val="185"/>
          <w:rFonts w:hint="eastAsia" w:ascii="宋体" w:hAnsi="宋体"/>
          <w:bCs/>
          <w:color w:val="auto"/>
          <w:sz w:val="28"/>
          <w:szCs w:val="28"/>
        </w:rPr>
        <w:t>中国残疾人联合会关于促进残疾人就业政府采购政策的通知》（财库〔</w:t>
      </w:r>
      <w:r>
        <w:rPr>
          <w:rStyle w:val="185"/>
          <w:rFonts w:ascii="宋体" w:hAnsi="宋体"/>
          <w:bCs/>
          <w:color w:val="auto"/>
          <w:sz w:val="28"/>
          <w:szCs w:val="28"/>
        </w:rPr>
        <w:t>2017</w:t>
      </w:r>
      <w:r>
        <w:rPr>
          <w:rStyle w:val="185"/>
          <w:rFonts w:hint="eastAsia" w:ascii="宋体" w:hAnsi="宋体"/>
          <w:bCs/>
          <w:color w:val="auto"/>
          <w:sz w:val="28"/>
          <w:szCs w:val="28"/>
        </w:rPr>
        <w:t>〕</w:t>
      </w:r>
      <w:r>
        <w:rPr>
          <w:rStyle w:val="185"/>
          <w:rFonts w:ascii="宋体" w:hAnsi="宋体"/>
          <w:bCs/>
          <w:color w:val="auto"/>
          <w:sz w:val="28"/>
          <w:szCs w:val="28"/>
        </w:rPr>
        <w:t xml:space="preserve"> 141</w:t>
      </w:r>
      <w:r>
        <w:rPr>
          <w:rStyle w:val="185"/>
          <w:rFonts w:hint="eastAsia" w:ascii="宋体" w:hAnsi="宋体"/>
          <w:bCs/>
          <w:color w:val="auto"/>
          <w:sz w:val="28"/>
          <w:szCs w:val="28"/>
        </w:rPr>
        <w:t>号）的规定，本单位为符合条件的残疾人福利性单位，且本单位参加</w:t>
      </w:r>
      <w:r>
        <w:rPr>
          <w:rStyle w:val="185"/>
          <w:rFonts w:ascii="宋体" w:hAnsi="宋体"/>
          <w:bCs/>
          <w:color w:val="auto"/>
          <w:sz w:val="28"/>
          <w:szCs w:val="28"/>
        </w:rPr>
        <w:t>______</w:t>
      </w:r>
      <w:r>
        <w:rPr>
          <w:rStyle w:val="185"/>
          <w:rFonts w:hint="eastAsia" w:ascii="宋体" w:hAnsi="宋体"/>
          <w:bCs/>
          <w:color w:val="auto"/>
          <w:sz w:val="28"/>
          <w:szCs w:val="28"/>
        </w:rPr>
        <w:t>单位的</w:t>
      </w:r>
      <w:r>
        <w:rPr>
          <w:rStyle w:val="185"/>
          <w:rFonts w:ascii="宋体" w:hAnsi="宋体"/>
          <w:bCs/>
          <w:color w:val="auto"/>
          <w:sz w:val="28"/>
          <w:szCs w:val="28"/>
        </w:rPr>
        <w:t>______</w:t>
      </w:r>
      <w:r>
        <w:rPr>
          <w:rStyle w:val="185"/>
          <w:rFonts w:hint="eastAsia" w:ascii="宋体" w:hAnsi="宋体"/>
          <w:bCs/>
          <w:color w:val="auto"/>
          <w:sz w:val="28"/>
          <w:szCs w:val="28"/>
        </w:rPr>
        <w:t>项目采购活动提供本单位制造的货物（由本单位承担工程</w:t>
      </w:r>
      <w:r>
        <w:rPr>
          <w:rStyle w:val="185"/>
          <w:rFonts w:ascii="宋体" w:hAnsi="宋体"/>
          <w:bCs/>
          <w:color w:val="auto"/>
          <w:sz w:val="28"/>
          <w:szCs w:val="28"/>
        </w:rPr>
        <w:t>/</w:t>
      </w:r>
      <w:r>
        <w:rPr>
          <w:rStyle w:val="185"/>
          <w:rFonts w:hint="eastAsia" w:ascii="宋体" w:hAnsi="宋体"/>
          <w:bCs/>
          <w:color w:val="auto"/>
          <w:sz w:val="28"/>
          <w:szCs w:val="28"/>
        </w:rPr>
        <w:t>提供服务），或者提供其他残疾人福利性单位制造的货物（不包括使用非残疾人福利性单位注册商标的货物）。</w:t>
      </w:r>
    </w:p>
    <w:p>
      <w:pPr>
        <w:ind w:firstLine="420" w:firstLineChars="150"/>
        <w:rPr>
          <w:rStyle w:val="185"/>
          <w:rFonts w:ascii="宋体"/>
          <w:bCs/>
          <w:color w:val="auto"/>
          <w:sz w:val="28"/>
          <w:szCs w:val="28"/>
        </w:rPr>
      </w:pPr>
      <w:r>
        <w:rPr>
          <w:rStyle w:val="185"/>
          <w:rFonts w:hint="eastAsia" w:ascii="宋体" w:hAnsi="宋体"/>
          <w:bCs/>
          <w:color w:val="auto"/>
          <w:sz w:val="28"/>
          <w:szCs w:val="28"/>
        </w:rPr>
        <w:t>本单位对上述声明的真实性负责。如有虚假，将依法承担相应责任。</w:t>
      </w:r>
    </w:p>
    <w:p>
      <w:pPr>
        <w:rPr>
          <w:rStyle w:val="185"/>
          <w:rFonts w:ascii="宋体"/>
          <w:bCs/>
          <w:color w:val="auto"/>
          <w:sz w:val="28"/>
          <w:szCs w:val="28"/>
        </w:rPr>
      </w:pPr>
    </w:p>
    <w:p>
      <w:pPr>
        <w:rPr>
          <w:rStyle w:val="185"/>
          <w:rFonts w:ascii="宋体"/>
          <w:bCs/>
          <w:color w:val="auto"/>
          <w:sz w:val="28"/>
          <w:szCs w:val="28"/>
        </w:rPr>
      </w:pPr>
    </w:p>
    <w:p>
      <w:pPr>
        <w:jc w:val="center"/>
        <w:rPr>
          <w:rStyle w:val="185"/>
          <w:rFonts w:ascii="宋体"/>
          <w:bCs/>
          <w:color w:val="auto"/>
          <w:sz w:val="28"/>
          <w:szCs w:val="28"/>
        </w:rPr>
      </w:pPr>
      <w:r>
        <w:rPr>
          <w:rStyle w:val="185"/>
          <w:rFonts w:ascii="宋体" w:hAnsi="宋体"/>
          <w:bCs/>
          <w:color w:val="auto"/>
          <w:sz w:val="28"/>
          <w:szCs w:val="28"/>
        </w:rPr>
        <w:t xml:space="preserve">             </w:t>
      </w:r>
      <w:r>
        <w:rPr>
          <w:rStyle w:val="185"/>
          <w:rFonts w:hint="eastAsia" w:ascii="宋体" w:hAnsi="宋体"/>
          <w:bCs/>
          <w:color w:val="auto"/>
          <w:sz w:val="28"/>
          <w:szCs w:val="28"/>
        </w:rPr>
        <w:t>供应商名称（盖章）：</w:t>
      </w:r>
      <w:r>
        <w:rPr>
          <w:rFonts w:ascii="仿宋_GB2312" w:hAnsi="宋体" w:eastAsia="仿宋_GB2312"/>
          <w:color w:val="auto"/>
          <w:sz w:val="24"/>
          <w:u w:val="single"/>
        </w:rPr>
        <w:t xml:space="preserve">          </w:t>
      </w:r>
    </w:p>
    <w:p>
      <w:pPr>
        <w:jc w:val="center"/>
        <w:rPr>
          <w:rStyle w:val="185"/>
          <w:rFonts w:ascii="宋体"/>
          <w:bCs/>
          <w:color w:val="auto"/>
          <w:sz w:val="28"/>
          <w:szCs w:val="28"/>
        </w:rPr>
      </w:pPr>
      <w:r>
        <w:rPr>
          <w:rStyle w:val="185"/>
          <w:rFonts w:ascii="宋体" w:hAnsi="宋体"/>
          <w:bCs/>
          <w:color w:val="auto"/>
          <w:sz w:val="28"/>
          <w:szCs w:val="28"/>
        </w:rPr>
        <w:t xml:space="preserve">     </w:t>
      </w:r>
      <w:r>
        <w:rPr>
          <w:rStyle w:val="185"/>
          <w:rFonts w:hint="eastAsia" w:ascii="宋体" w:hAnsi="宋体"/>
          <w:bCs/>
          <w:color w:val="auto"/>
          <w:sz w:val="28"/>
          <w:szCs w:val="28"/>
        </w:rPr>
        <w:t>日</w:t>
      </w:r>
      <w:r>
        <w:rPr>
          <w:rStyle w:val="185"/>
          <w:rFonts w:ascii="宋体" w:hAnsi="宋体"/>
          <w:bCs/>
          <w:color w:val="auto"/>
          <w:sz w:val="28"/>
          <w:szCs w:val="28"/>
        </w:rPr>
        <w:t xml:space="preserve">  </w:t>
      </w:r>
      <w:r>
        <w:rPr>
          <w:rStyle w:val="185"/>
          <w:rFonts w:hint="eastAsia" w:ascii="宋体" w:hAnsi="宋体"/>
          <w:bCs/>
          <w:color w:val="auto"/>
          <w:sz w:val="28"/>
          <w:szCs w:val="28"/>
        </w:rPr>
        <w:t>期：</w:t>
      </w:r>
      <w:r>
        <w:rPr>
          <w:rFonts w:ascii="仿宋_GB2312" w:hAnsi="宋体" w:eastAsia="仿宋_GB2312"/>
          <w:color w:val="auto"/>
          <w:sz w:val="24"/>
          <w:u w:val="single"/>
        </w:rPr>
        <w:t xml:space="preserve">                      </w:t>
      </w:r>
    </w:p>
    <w:p>
      <w:pPr>
        <w:spacing w:line="360" w:lineRule="auto"/>
        <w:rPr>
          <w:rFonts w:ascii="宋体"/>
          <w:color w:val="auto"/>
          <w:sz w:val="28"/>
          <w:szCs w:val="28"/>
        </w:rPr>
      </w:pPr>
      <w:r>
        <w:rPr>
          <w:rFonts w:ascii="宋体"/>
          <w:color w:val="auto"/>
          <w:sz w:val="28"/>
          <w:szCs w:val="28"/>
        </w:rPr>
        <w:br w:type="page"/>
      </w:r>
      <w:r>
        <w:rPr>
          <w:rFonts w:hint="eastAsia" w:ascii="宋体" w:hAnsi="宋体"/>
          <w:color w:val="auto"/>
          <w:sz w:val="28"/>
          <w:szCs w:val="28"/>
        </w:rPr>
        <w:t>附件</w:t>
      </w:r>
      <w:r>
        <w:rPr>
          <w:rFonts w:ascii="宋体" w:hAnsi="宋体"/>
          <w:color w:val="auto"/>
          <w:sz w:val="28"/>
          <w:szCs w:val="28"/>
        </w:rPr>
        <w:t>17</w:t>
      </w:r>
      <w:r>
        <w:rPr>
          <w:rFonts w:hint="eastAsia" w:ascii="宋体" w:hAnsi="宋体"/>
          <w:color w:val="auto"/>
          <w:sz w:val="28"/>
          <w:szCs w:val="28"/>
        </w:rPr>
        <w:t>：</w:t>
      </w:r>
    </w:p>
    <w:p>
      <w:pPr>
        <w:jc w:val="center"/>
        <w:outlineLvl w:val="1"/>
        <w:rPr>
          <w:b/>
          <w:color w:val="auto"/>
          <w:sz w:val="28"/>
        </w:rPr>
      </w:pPr>
      <w:bookmarkStart w:id="79" w:name="_Toc14095"/>
      <w:bookmarkStart w:id="80" w:name="_Toc7925"/>
      <w:r>
        <w:rPr>
          <w:rFonts w:hint="eastAsia"/>
          <w:b/>
          <w:color w:val="auto"/>
          <w:sz w:val="28"/>
        </w:rPr>
        <w:t>产品适用政府采购政策情况表</w:t>
      </w:r>
      <w:bookmarkEnd w:id="79"/>
      <w:bookmarkEnd w:id="80"/>
    </w:p>
    <w:tbl>
      <w:tblPr>
        <w:tblStyle w:val="3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664"/>
        <w:gridCol w:w="2042"/>
        <w:gridCol w:w="174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9" w:type="dxa"/>
            <w:vMerge w:val="restart"/>
            <w:vAlign w:val="center"/>
          </w:tcPr>
          <w:p>
            <w:pPr>
              <w:pStyle w:val="104"/>
              <w:tabs>
                <w:tab w:val="left" w:pos="1260"/>
              </w:tabs>
              <w:spacing w:before="156" w:after="156"/>
              <w:jc w:val="center"/>
              <w:rPr>
                <w:rFonts w:ascii="宋体"/>
                <w:color w:val="auto"/>
                <w:sz w:val="24"/>
                <w:lang w:val="en-GB"/>
              </w:rPr>
            </w:pPr>
            <w:r>
              <w:rPr>
                <w:rFonts w:hint="eastAsia" w:ascii="宋体" w:hAnsi="宋体"/>
                <w:color w:val="auto"/>
                <w:sz w:val="24"/>
                <w:lang w:val="en-GB"/>
              </w:rPr>
              <w:t>中小企业扶持政策</w:t>
            </w:r>
          </w:p>
        </w:tc>
        <w:tc>
          <w:tcPr>
            <w:tcW w:w="8066" w:type="dxa"/>
            <w:gridSpan w:val="4"/>
            <w:vAlign w:val="center"/>
          </w:tcPr>
          <w:p>
            <w:pPr>
              <w:pStyle w:val="104"/>
              <w:tabs>
                <w:tab w:val="left" w:pos="1260"/>
              </w:tabs>
              <w:spacing w:before="40" w:after="40" w:line="360" w:lineRule="auto"/>
              <w:rPr>
                <w:rFonts w:ascii="宋体"/>
                <w:color w:val="auto"/>
                <w:sz w:val="24"/>
                <w:lang w:val="en-GB"/>
              </w:rPr>
            </w:pPr>
            <w:r>
              <w:rPr>
                <w:rFonts w:hint="eastAsia" w:ascii="宋体" w:hAnsi="宋体"/>
                <w:color w:val="auto"/>
                <w:sz w:val="24"/>
                <w:lang w:val="en-GB"/>
              </w:rPr>
              <w:t>如属所列情形的，请在括号内打“√”：</w:t>
            </w:r>
          </w:p>
          <w:p>
            <w:pPr>
              <w:pStyle w:val="104"/>
              <w:tabs>
                <w:tab w:val="left" w:pos="1260"/>
              </w:tabs>
              <w:spacing w:before="40" w:after="40" w:line="360" w:lineRule="auto"/>
              <w:rPr>
                <w:rFonts w:ascii="宋体"/>
                <w:color w:val="auto"/>
                <w:sz w:val="24"/>
              </w:rPr>
            </w:pP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）小型、微型企业投标且提供本企业制造的产品。</w:t>
            </w:r>
          </w:p>
          <w:p>
            <w:pPr>
              <w:pStyle w:val="104"/>
              <w:tabs>
                <w:tab w:val="left" w:pos="1260"/>
              </w:tabs>
              <w:spacing w:before="40" w:after="40" w:line="360" w:lineRule="auto"/>
              <w:rPr>
                <w:rFonts w:ascii="宋体"/>
                <w:color w:val="auto"/>
                <w:sz w:val="24"/>
              </w:rPr>
            </w:pP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9" w:type="dxa"/>
            <w:vMerge w:val="continue"/>
            <w:vAlign w:val="center"/>
          </w:tcPr>
          <w:p>
            <w:pPr>
              <w:pStyle w:val="104"/>
              <w:tabs>
                <w:tab w:val="left" w:pos="1260"/>
              </w:tabs>
              <w:spacing w:before="156" w:after="156"/>
              <w:jc w:val="center"/>
              <w:rPr>
                <w:rFonts w:ascii="宋体"/>
                <w:color w:val="auto"/>
                <w:sz w:val="24"/>
                <w:lang w:val="en-GB"/>
              </w:rPr>
            </w:pPr>
          </w:p>
        </w:tc>
        <w:tc>
          <w:tcPr>
            <w:tcW w:w="2664" w:type="dxa"/>
            <w:vAlign w:val="center"/>
          </w:tcPr>
          <w:p>
            <w:pPr>
              <w:pStyle w:val="104"/>
              <w:tabs>
                <w:tab w:val="left" w:pos="1260"/>
              </w:tabs>
              <w:spacing w:before="40" w:after="40"/>
              <w:jc w:val="center"/>
              <w:rPr>
                <w:rFonts w:ascii="宋体"/>
                <w:color w:val="auto"/>
                <w:sz w:val="24"/>
                <w:lang w:val="en-GB"/>
              </w:rPr>
            </w:pPr>
            <w:r>
              <w:rPr>
                <w:rFonts w:hint="eastAsia" w:ascii="宋体" w:hAnsi="宋体"/>
                <w:color w:val="auto"/>
                <w:sz w:val="24"/>
                <w:lang w:val="en-GB"/>
              </w:rPr>
              <w:t>产品名称（品牌、型号）</w:t>
            </w:r>
          </w:p>
        </w:tc>
        <w:tc>
          <w:tcPr>
            <w:tcW w:w="2042" w:type="dxa"/>
            <w:vAlign w:val="center"/>
          </w:tcPr>
          <w:p>
            <w:pPr>
              <w:pStyle w:val="104"/>
              <w:tabs>
                <w:tab w:val="left" w:pos="1260"/>
              </w:tabs>
              <w:spacing w:before="40" w:after="40"/>
              <w:jc w:val="center"/>
              <w:rPr>
                <w:rFonts w:ascii="宋体"/>
                <w:color w:val="auto"/>
                <w:sz w:val="24"/>
                <w:lang w:val="en-GB"/>
              </w:rPr>
            </w:pPr>
            <w:r>
              <w:rPr>
                <w:rFonts w:hint="eastAsia" w:ascii="宋体" w:hAnsi="宋体"/>
                <w:color w:val="auto"/>
                <w:sz w:val="24"/>
                <w:lang w:val="en-GB"/>
              </w:rPr>
              <w:t>制造商</w:t>
            </w:r>
          </w:p>
        </w:tc>
        <w:tc>
          <w:tcPr>
            <w:tcW w:w="1748" w:type="dxa"/>
            <w:vAlign w:val="center"/>
          </w:tcPr>
          <w:p>
            <w:pPr>
              <w:pStyle w:val="104"/>
              <w:tabs>
                <w:tab w:val="left" w:pos="1260"/>
              </w:tabs>
              <w:spacing w:before="40" w:after="40"/>
              <w:jc w:val="center"/>
              <w:rPr>
                <w:rFonts w:ascii="宋体"/>
                <w:color w:val="auto"/>
                <w:sz w:val="24"/>
                <w:lang w:val="en-GB"/>
              </w:rPr>
            </w:pPr>
            <w:r>
              <w:rPr>
                <w:rFonts w:hint="eastAsia" w:ascii="宋体" w:hAnsi="宋体"/>
                <w:color w:val="auto"/>
                <w:sz w:val="24"/>
                <w:lang w:val="en-GB"/>
              </w:rPr>
              <w:t>制造商</w:t>
            </w:r>
          </w:p>
          <w:p>
            <w:pPr>
              <w:pStyle w:val="104"/>
              <w:tabs>
                <w:tab w:val="left" w:pos="1260"/>
              </w:tabs>
              <w:spacing w:before="40" w:after="40"/>
              <w:jc w:val="center"/>
              <w:rPr>
                <w:rFonts w:ascii="宋体"/>
                <w:color w:val="auto"/>
                <w:sz w:val="24"/>
                <w:lang w:val="en-GB"/>
              </w:rPr>
            </w:pPr>
            <w:r>
              <w:rPr>
                <w:rFonts w:hint="eastAsia" w:ascii="宋体" w:hAnsi="宋体"/>
                <w:color w:val="auto"/>
                <w:sz w:val="24"/>
                <w:lang w:val="en-GB"/>
              </w:rPr>
              <w:t>企业类型</w:t>
            </w:r>
          </w:p>
        </w:tc>
        <w:tc>
          <w:tcPr>
            <w:tcW w:w="1612" w:type="dxa"/>
            <w:vAlign w:val="center"/>
          </w:tcPr>
          <w:p>
            <w:pPr>
              <w:pStyle w:val="104"/>
              <w:tabs>
                <w:tab w:val="left" w:pos="1260"/>
              </w:tabs>
              <w:spacing w:before="40" w:after="40"/>
              <w:jc w:val="center"/>
              <w:rPr>
                <w:rFonts w:ascii="宋体"/>
                <w:color w:val="auto"/>
                <w:sz w:val="24"/>
                <w:lang w:val="en-GB"/>
              </w:rPr>
            </w:pPr>
            <w:r>
              <w:rPr>
                <w:rFonts w:hint="eastAsia" w:ascii="宋体" w:hAnsi="宋体"/>
                <w:color w:val="auto"/>
                <w:sz w:val="24"/>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9" w:type="dxa"/>
            <w:vMerge w:val="continue"/>
            <w:vAlign w:val="center"/>
          </w:tcPr>
          <w:p>
            <w:pPr>
              <w:pStyle w:val="104"/>
              <w:tabs>
                <w:tab w:val="left" w:pos="1260"/>
              </w:tabs>
              <w:spacing w:before="156" w:after="156"/>
              <w:jc w:val="center"/>
              <w:rPr>
                <w:rFonts w:ascii="宋体"/>
                <w:color w:val="auto"/>
                <w:sz w:val="24"/>
                <w:lang w:val="en-GB"/>
              </w:rPr>
            </w:pPr>
          </w:p>
        </w:tc>
        <w:tc>
          <w:tcPr>
            <w:tcW w:w="2664" w:type="dxa"/>
            <w:vAlign w:val="center"/>
          </w:tcPr>
          <w:p>
            <w:pPr>
              <w:pStyle w:val="104"/>
              <w:tabs>
                <w:tab w:val="left" w:pos="1260"/>
              </w:tabs>
              <w:spacing w:before="40" w:after="40"/>
              <w:jc w:val="center"/>
              <w:rPr>
                <w:rFonts w:ascii="宋体"/>
                <w:color w:val="auto"/>
                <w:sz w:val="24"/>
                <w:lang w:val="en-GB"/>
              </w:rPr>
            </w:pPr>
          </w:p>
        </w:tc>
        <w:tc>
          <w:tcPr>
            <w:tcW w:w="2042" w:type="dxa"/>
            <w:vAlign w:val="center"/>
          </w:tcPr>
          <w:p>
            <w:pPr>
              <w:pStyle w:val="104"/>
              <w:tabs>
                <w:tab w:val="left" w:pos="1260"/>
              </w:tabs>
              <w:spacing w:before="40" w:after="40"/>
              <w:jc w:val="center"/>
              <w:rPr>
                <w:rFonts w:ascii="宋体"/>
                <w:color w:val="auto"/>
                <w:sz w:val="24"/>
                <w:lang w:val="en-GB"/>
              </w:rPr>
            </w:pPr>
          </w:p>
        </w:tc>
        <w:tc>
          <w:tcPr>
            <w:tcW w:w="1748" w:type="dxa"/>
            <w:vAlign w:val="center"/>
          </w:tcPr>
          <w:p>
            <w:pPr>
              <w:pStyle w:val="104"/>
              <w:tabs>
                <w:tab w:val="left" w:pos="1260"/>
              </w:tabs>
              <w:spacing w:before="40" w:after="40"/>
              <w:jc w:val="center"/>
              <w:rPr>
                <w:rFonts w:ascii="宋体"/>
                <w:color w:val="auto"/>
                <w:sz w:val="24"/>
                <w:lang w:val="en-GB"/>
              </w:rPr>
            </w:pPr>
          </w:p>
        </w:tc>
        <w:tc>
          <w:tcPr>
            <w:tcW w:w="1612" w:type="dxa"/>
            <w:vAlign w:val="center"/>
          </w:tcPr>
          <w:p>
            <w:pPr>
              <w:pStyle w:val="104"/>
              <w:tabs>
                <w:tab w:val="left" w:pos="1260"/>
              </w:tabs>
              <w:spacing w:before="40" w:after="40"/>
              <w:jc w:val="center"/>
              <w:rPr>
                <w:rFonts w:ascii="宋体"/>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9" w:type="dxa"/>
            <w:vMerge w:val="continue"/>
            <w:vAlign w:val="center"/>
          </w:tcPr>
          <w:p>
            <w:pPr>
              <w:pStyle w:val="104"/>
              <w:tabs>
                <w:tab w:val="left" w:pos="1260"/>
              </w:tabs>
              <w:spacing w:before="156" w:after="156"/>
              <w:jc w:val="center"/>
              <w:rPr>
                <w:rFonts w:ascii="宋体"/>
                <w:color w:val="auto"/>
                <w:sz w:val="24"/>
                <w:lang w:val="en-GB"/>
              </w:rPr>
            </w:pPr>
          </w:p>
        </w:tc>
        <w:tc>
          <w:tcPr>
            <w:tcW w:w="2664" w:type="dxa"/>
            <w:vAlign w:val="center"/>
          </w:tcPr>
          <w:p>
            <w:pPr>
              <w:pStyle w:val="104"/>
              <w:tabs>
                <w:tab w:val="left" w:pos="1260"/>
              </w:tabs>
              <w:spacing w:before="40" w:after="40"/>
              <w:jc w:val="center"/>
              <w:rPr>
                <w:rFonts w:ascii="宋体"/>
                <w:color w:val="auto"/>
                <w:sz w:val="24"/>
                <w:lang w:val="en-GB"/>
              </w:rPr>
            </w:pPr>
          </w:p>
        </w:tc>
        <w:tc>
          <w:tcPr>
            <w:tcW w:w="2042" w:type="dxa"/>
            <w:vAlign w:val="center"/>
          </w:tcPr>
          <w:p>
            <w:pPr>
              <w:pStyle w:val="104"/>
              <w:tabs>
                <w:tab w:val="left" w:pos="1260"/>
              </w:tabs>
              <w:spacing w:before="40" w:after="40"/>
              <w:jc w:val="center"/>
              <w:rPr>
                <w:rFonts w:ascii="宋体"/>
                <w:color w:val="auto"/>
                <w:sz w:val="24"/>
                <w:lang w:val="en-GB"/>
              </w:rPr>
            </w:pPr>
          </w:p>
        </w:tc>
        <w:tc>
          <w:tcPr>
            <w:tcW w:w="1748" w:type="dxa"/>
            <w:vAlign w:val="center"/>
          </w:tcPr>
          <w:p>
            <w:pPr>
              <w:pStyle w:val="104"/>
              <w:tabs>
                <w:tab w:val="left" w:pos="1260"/>
              </w:tabs>
              <w:spacing w:before="40" w:after="40"/>
              <w:jc w:val="center"/>
              <w:rPr>
                <w:rFonts w:ascii="宋体"/>
                <w:color w:val="auto"/>
                <w:sz w:val="24"/>
                <w:lang w:val="en-GB"/>
              </w:rPr>
            </w:pPr>
          </w:p>
        </w:tc>
        <w:tc>
          <w:tcPr>
            <w:tcW w:w="1612" w:type="dxa"/>
            <w:vAlign w:val="center"/>
          </w:tcPr>
          <w:p>
            <w:pPr>
              <w:pStyle w:val="104"/>
              <w:tabs>
                <w:tab w:val="left" w:pos="1260"/>
              </w:tabs>
              <w:spacing w:before="40" w:after="40"/>
              <w:jc w:val="center"/>
              <w:rPr>
                <w:rFonts w:ascii="宋体"/>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9" w:type="dxa"/>
            <w:vMerge w:val="continue"/>
            <w:vAlign w:val="center"/>
          </w:tcPr>
          <w:p>
            <w:pPr>
              <w:pStyle w:val="104"/>
              <w:tabs>
                <w:tab w:val="left" w:pos="1260"/>
              </w:tabs>
              <w:spacing w:before="156" w:after="156"/>
              <w:jc w:val="center"/>
              <w:rPr>
                <w:rFonts w:ascii="宋体"/>
                <w:color w:val="auto"/>
                <w:sz w:val="24"/>
                <w:lang w:val="en-GB"/>
              </w:rPr>
            </w:pPr>
          </w:p>
        </w:tc>
        <w:tc>
          <w:tcPr>
            <w:tcW w:w="2664" w:type="dxa"/>
            <w:vAlign w:val="center"/>
          </w:tcPr>
          <w:p>
            <w:pPr>
              <w:pStyle w:val="104"/>
              <w:tabs>
                <w:tab w:val="left" w:pos="1260"/>
              </w:tabs>
              <w:spacing w:before="40" w:after="40"/>
              <w:jc w:val="center"/>
              <w:rPr>
                <w:rFonts w:ascii="宋体"/>
                <w:color w:val="auto"/>
                <w:sz w:val="24"/>
                <w:lang w:val="en-GB"/>
              </w:rPr>
            </w:pPr>
          </w:p>
        </w:tc>
        <w:tc>
          <w:tcPr>
            <w:tcW w:w="2042" w:type="dxa"/>
            <w:vAlign w:val="center"/>
          </w:tcPr>
          <w:p>
            <w:pPr>
              <w:pStyle w:val="104"/>
              <w:tabs>
                <w:tab w:val="left" w:pos="1260"/>
              </w:tabs>
              <w:spacing w:before="40" w:after="40"/>
              <w:jc w:val="center"/>
              <w:rPr>
                <w:rFonts w:ascii="宋体"/>
                <w:color w:val="auto"/>
                <w:sz w:val="24"/>
                <w:lang w:val="en-GB"/>
              </w:rPr>
            </w:pPr>
          </w:p>
        </w:tc>
        <w:tc>
          <w:tcPr>
            <w:tcW w:w="1748" w:type="dxa"/>
            <w:vAlign w:val="center"/>
          </w:tcPr>
          <w:p>
            <w:pPr>
              <w:pStyle w:val="104"/>
              <w:tabs>
                <w:tab w:val="left" w:pos="1260"/>
              </w:tabs>
              <w:spacing w:before="40" w:after="40"/>
              <w:jc w:val="center"/>
              <w:rPr>
                <w:rFonts w:ascii="宋体"/>
                <w:color w:val="auto"/>
                <w:sz w:val="24"/>
                <w:lang w:val="en-GB"/>
              </w:rPr>
            </w:pPr>
          </w:p>
        </w:tc>
        <w:tc>
          <w:tcPr>
            <w:tcW w:w="1612" w:type="dxa"/>
            <w:vAlign w:val="center"/>
          </w:tcPr>
          <w:p>
            <w:pPr>
              <w:pStyle w:val="104"/>
              <w:tabs>
                <w:tab w:val="left" w:pos="1260"/>
              </w:tabs>
              <w:spacing w:before="40" w:after="40"/>
              <w:jc w:val="center"/>
              <w:rPr>
                <w:rFonts w:ascii="宋体"/>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9" w:type="dxa"/>
            <w:vMerge w:val="continue"/>
            <w:vAlign w:val="center"/>
          </w:tcPr>
          <w:p>
            <w:pPr>
              <w:pStyle w:val="104"/>
              <w:tabs>
                <w:tab w:val="left" w:pos="1260"/>
              </w:tabs>
              <w:spacing w:before="156" w:after="156"/>
              <w:jc w:val="center"/>
              <w:rPr>
                <w:rFonts w:ascii="宋体"/>
                <w:color w:val="auto"/>
                <w:sz w:val="24"/>
                <w:lang w:val="en-GB"/>
              </w:rPr>
            </w:pPr>
          </w:p>
        </w:tc>
        <w:tc>
          <w:tcPr>
            <w:tcW w:w="6454" w:type="dxa"/>
            <w:gridSpan w:val="3"/>
            <w:vAlign w:val="center"/>
          </w:tcPr>
          <w:p>
            <w:pPr>
              <w:pStyle w:val="104"/>
              <w:tabs>
                <w:tab w:val="left" w:pos="1260"/>
              </w:tabs>
              <w:spacing w:before="40" w:after="40"/>
              <w:jc w:val="center"/>
              <w:rPr>
                <w:rFonts w:ascii="宋体"/>
                <w:color w:val="auto"/>
                <w:sz w:val="24"/>
                <w:lang w:val="en-GB"/>
              </w:rPr>
            </w:pPr>
            <w:r>
              <w:rPr>
                <w:rFonts w:hint="eastAsia" w:ascii="宋体" w:hAnsi="宋体"/>
                <w:color w:val="auto"/>
                <w:sz w:val="24"/>
              </w:rPr>
              <w:t>小型、微型企业产品</w:t>
            </w:r>
            <w:r>
              <w:rPr>
                <w:rFonts w:hint="eastAsia" w:ascii="宋体" w:hAnsi="宋体"/>
                <w:color w:val="auto"/>
                <w:sz w:val="24"/>
                <w:lang w:val="en-GB"/>
              </w:rPr>
              <w:t>金额合计</w:t>
            </w:r>
          </w:p>
        </w:tc>
        <w:tc>
          <w:tcPr>
            <w:tcW w:w="1612" w:type="dxa"/>
            <w:vAlign w:val="center"/>
          </w:tcPr>
          <w:p>
            <w:pPr>
              <w:pStyle w:val="104"/>
              <w:tabs>
                <w:tab w:val="left" w:pos="1260"/>
              </w:tabs>
              <w:spacing w:before="40" w:after="40"/>
              <w:jc w:val="center"/>
              <w:rPr>
                <w:rFonts w:ascii="宋体"/>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9" w:type="dxa"/>
            <w:vMerge w:val="continue"/>
            <w:vAlign w:val="center"/>
          </w:tcPr>
          <w:p>
            <w:pPr>
              <w:pStyle w:val="104"/>
              <w:tabs>
                <w:tab w:val="left" w:pos="1260"/>
              </w:tabs>
              <w:spacing w:before="156" w:after="156"/>
              <w:jc w:val="center"/>
              <w:rPr>
                <w:rFonts w:ascii="宋体"/>
                <w:color w:val="auto"/>
                <w:sz w:val="24"/>
                <w:lang w:val="en-GB"/>
              </w:rPr>
            </w:pPr>
          </w:p>
        </w:tc>
        <w:tc>
          <w:tcPr>
            <w:tcW w:w="8066" w:type="dxa"/>
            <w:gridSpan w:val="4"/>
            <w:vAlign w:val="center"/>
          </w:tcPr>
          <w:p>
            <w:pPr>
              <w:pStyle w:val="104"/>
              <w:tabs>
                <w:tab w:val="left" w:pos="1260"/>
              </w:tabs>
              <w:spacing w:before="156" w:after="156"/>
              <w:jc w:val="center"/>
              <w:rPr>
                <w:rFonts w:ascii="宋体"/>
                <w:b/>
                <w:color w:val="auto"/>
                <w:sz w:val="24"/>
                <w:lang w:val="en-GB"/>
              </w:rPr>
            </w:pPr>
            <w:r>
              <w:rPr>
                <w:rFonts w:hint="eastAsia" w:ascii="宋体" w:hAnsi="宋体"/>
                <w:color w:val="auto"/>
                <w:sz w:val="24"/>
                <w:lang w:val="en-GB"/>
              </w:rPr>
              <w:t>环境标志产品</w:t>
            </w:r>
            <w:r>
              <w:rPr>
                <w:rFonts w:hint="eastAsia" w:ascii="宋体" w:hAnsi="宋体" w:cs="宋体"/>
                <w:color w:val="auto"/>
                <w:sz w:val="24"/>
              </w:rPr>
              <w:t>证明材料见《技术文件》第</w:t>
            </w:r>
            <w:r>
              <w:rPr>
                <w:rFonts w:ascii="宋体" w:hAnsi="宋体" w:cs="宋体"/>
                <w:color w:val="auto"/>
                <w:sz w:val="24"/>
                <w:u w:val="single"/>
              </w:rPr>
              <w:t xml:space="preserve">   </w:t>
            </w:r>
            <w:r>
              <w:rPr>
                <w:rFonts w:hint="eastAsia" w:ascii="宋体" w:hAnsi="宋体" w:cs="宋体"/>
                <w:color w:val="auto"/>
                <w:sz w:val="24"/>
              </w:rPr>
              <w:t>至</w:t>
            </w:r>
            <w:r>
              <w:rPr>
                <w:rFonts w:ascii="宋体" w:hAnsi="宋体" w:cs="宋体"/>
                <w:color w:val="auto"/>
                <w:sz w:val="24"/>
                <w:u w:val="single"/>
              </w:rPr>
              <w:t xml:space="preserve">   </w:t>
            </w:r>
            <w:r>
              <w:rPr>
                <w:rFonts w:hint="eastAsia" w:ascii="宋体" w:hAnsi="宋体" w:cs="宋体"/>
                <w:color w:val="auto"/>
                <w:sz w:val="24"/>
              </w:rPr>
              <w:t>页。</w:t>
            </w:r>
          </w:p>
        </w:tc>
      </w:tr>
    </w:tbl>
    <w:p>
      <w:pPr>
        <w:pStyle w:val="104"/>
        <w:spacing w:line="460" w:lineRule="exact"/>
        <w:ind w:left="821" w:hanging="820" w:hangingChars="342"/>
        <w:rPr>
          <w:rFonts w:ascii="宋体"/>
          <w:color w:val="auto"/>
          <w:sz w:val="24"/>
          <w:lang w:val="en-GB"/>
        </w:rPr>
      </w:pPr>
      <w:r>
        <w:rPr>
          <w:rFonts w:hint="eastAsia" w:ascii="宋体" w:hAnsi="宋体"/>
          <w:color w:val="auto"/>
          <w:sz w:val="24"/>
          <w:lang w:val="en-GB"/>
        </w:rPr>
        <w:t>填报要求：</w:t>
      </w:r>
    </w:p>
    <w:p>
      <w:pPr>
        <w:pStyle w:val="104"/>
        <w:widowControl/>
        <w:numPr>
          <w:ilvl w:val="0"/>
          <w:numId w:val="7"/>
        </w:numPr>
        <w:tabs>
          <w:tab w:val="left" w:pos="360"/>
          <w:tab w:val="clear" w:pos="1264"/>
        </w:tabs>
        <w:spacing w:line="360" w:lineRule="auto"/>
        <w:ind w:left="360" w:right="84" w:rightChars="40" w:hanging="360"/>
        <w:jc w:val="left"/>
        <w:rPr>
          <w:rFonts w:ascii="宋体"/>
          <w:color w:val="auto"/>
          <w:sz w:val="24"/>
          <w:lang w:val="en-GB"/>
        </w:rPr>
      </w:pPr>
      <w:r>
        <w:rPr>
          <w:rFonts w:hint="eastAsia" w:ascii="宋体" w:hAnsi="宋体"/>
          <w:color w:val="auto"/>
          <w:sz w:val="24"/>
          <w:lang w:val="en-GB"/>
        </w:rPr>
        <w:t>本表的产品名称、规格型号和注册商标、金额应与《报价明细表》一致。</w:t>
      </w:r>
    </w:p>
    <w:p>
      <w:pPr>
        <w:pStyle w:val="104"/>
        <w:widowControl/>
        <w:numPr>
          <w:ilvl w:val="0"/>
          <w:numId w:val="7"/>
        </w:numPr>
        <w:tabs>
          <w:tab w:val="left" w:pos="360"/>
          <w:tab w:val="clear" w:pos="1264"/>
        </w:tabs>
        <w:spacing w:line="360" w:lineRule="auto"/>
        <w:ind w:left="360" w:right="84" w:rightChars="40" w:hanging="360"/>
        <w:jc w:val="left"/>
        <w:rPr>
          <w:rFonts w:ascii="宋体"/>
          <w:color w:val="auto"/>
          <w:sz w:val="24"/>
          <w:lang w:val="en-GB"/>
        </w:rPr>
      </w:pPr>
      <w:r>
        <w:rPr>
          <w:rFonts w:hint="eastAsia" w:ascii="宋体" w:hAnsi="宋体"/>
          <w:color w:val="auto"/>
          <w:sz w:val="24"/>
          <w:lang w:val="en-GB"/>
        </w:rPr>
        <w:t>制造商为小型或微型企业时才需要填“制造商企业类型”栏，填写内容须为“小型”或“微型”。</w:t>
      </w:r>
    </w:p>
    <w:p>
      <w:pPr>
        <w:pStyle w:val="104"/>
        <w:widowControl/>
        <w:numPr>
          <w:ilvl w:val="0"/>
          <w:numId w:val="7"/>
        </w:numPr>
        <w:tabs>
          <w:tab w:val="left" w:pos="360"/>
          <w:tab w:val="clear" w:pos="1264"/>
        </w:tabs>
        <w:spacing w:line="360" w:lineRule="auto"/>
        <w:ind w:left="360" w:right="84" w:rightChars="40" w:hanging="360"/>
        <w:jc w:val="left"/>
        <w:rPr>
          <w:rFonts w:ascii="宋体"/>
          <w:color w:val="auto"/>
          <w:sz w:val="24"/>
          <w:lang w:val="en-GB"/>
        </w:rPr>
      </w:pPr>
      <w:r>
        <w:rPr>
          <w:rFonts w:hint="eastAsia" w:ascii="宋体" w:hAnsi="宋体"/>
          <w:color w:val="auto"/>
          <w:sz w:val="24"/>
          <w:lang w:val="en-GB"/>
        </w:rPr>
        <w:t>节能产品是指财政部公布的《</w:t>
      </w:r>
      <w:r>
        <w:rPr>
          <w:rFonts w:hint="eastAsia" w:ascii="宋体" w:hAnsi="宋体"/>
          <w:color w:val="auto"/>
          <w:sz w:val="24"/>
        </w:rPr>
        <w:t>环境标志产品政府采购品目清单</w:t>
      </w:r>
      <w:r>
        <w:rPr>
          <w:rFonts w:hint="eastAsia" w:ascii="宋体" w:hAnsi="宋体"/>
          <w:color w:val="auto"/>
          <w:sz w:val="24"/>
          <w:lang w:val="en-GB"/>
        </w:rPr>
        <w:t>》中的产品；环境标志产品是指财政部发布的《</w:t>
      </w:r>
      <w:r>
        <w:rPr>
          <w:rFonts w:hint="eastAsia" w:ascii="宋体" w:hAnsi="宋体"/>
          <w:color w:val="auto"/>
          <w:sz w:val="24"/>
        </w:rPr>
        <w:t>节能产品政府采购品目清单</w:t>
      </w:r>
      <w:r>
        <w:rPr>
          <w:rFonts w:hint="eastAsia" w:ascii="宋体" w:hAnsi="宋体"/>
          <w:color w:val="auto"/>
          <w:sz w:val="24"/>
          <w:lang w:val="en-GB"/>
        </w:rPr>
        <w:t>》中的产品。请提供《清单》中相关内容页（并对相关内容作圈记）。</w:t>
      </w:r>
    </w:p>
    <w:p>
      <w:pPr>
        <w:pStyle w:val="104"/>
        <w:widowControl/>
        <w:numPr>
          <w:ilvl w:val="0"/>
          <w:numId w:val="7"/>
        </w:numPr>
        <w:tabs>
          <w:tab w:val="left" w:pos="360"/>
          <w:tab w:val="clear" w:pos="1264"/>
        </w:tabs>
        <w:spacing w:line="360" w:lineRule="auto"/>
        <w:ind w:left="360" w:right="84" w:rightChars="40" w:hanging="360"/>
        <w:jc w:val="left"/>
        <w:rPr>
          <w:rFonts w:ascii="宋体"/>
          <w:color w:val="auto"/>
          <w:sz w:val="24"/>
          <w:lang w:val="en-GB"/>
        </w:rPr>
      </w:pPr>
      <w:r>
        <w:rPr>
          <w:rFonts w:hint="eastAsia" w:ascii="宋体" w:hAnsi="宋体"/>
          <w:color w:val="auto"/>
          <w:sz w:val="24"/>
          <w:lang w:val="en-GB"/>
        </w:rPr>
        <w:t>请供应商正确填写本表，所填内容将作为评审的依据。如未按要求填写，一切责任由供应商自行承担。</w:t>
      </w:r>
    </w:p>
    <w:p>
      <w:pPr>
        <w:spacing w:line="360" w:lineRule="auto"/>
        <w:rPr>
          <w:rFonts w:ascii="宋体"/>
          <w:color w:val="auto"/>
          <w:sz w:val="28"/>
          <w:szCs w:val="28"/>
        </w:rPr>
      </w:pPr>
      <w:r>
        <w:rPr>
          <w:rFonts w:ascii="宋体"/>
          <w:color w:val="auto"/>
          <w:sz w:val="28"/>
          <w:szCs w:val="28"/>
        </w:rPr>
        <w:br w:type="page"/>
      </w:r>
      <w:r>
        <w:rPr>
          <w:rFonts w:hint="eastAsia" w:ascii="宋体" w:hAnsi="宋体"/>
          <w:color w:val="auto"/>
          <w:sz w:val="28"/>
          <w:szCs w:val="28"/>
        </w:rPr>
        <w:t>附件</w:t>
      </w:r>
      <w:r>
        <w:rPr>
          <w:rFonts w:ascii="宋体" w:hAnsi="宋体"/>
          <w:color w:val="auto"/>
          <w:sz w:val="28"/>
          <w:szCs w:val="28"/>
        </w:rPr>
        <w:t>18</w:t>
      </w:r>
      <w:r>
        <w:rPr>
          <w:rFonts w:hint="eastAsia" w:ascii="宋体" w:hAnsi="宋体"/>
          <w:color w:val="auto"/>
          <w:sz w:val="28"/>
          <w:szCs w:val="28"/>
        </w:rPr>
        <w:t>：</w:t>
      </w:r>
    </w:p>
    <w:p>
      <w:pPr>
        <w:jc w:val="center"/>
        <w:rPr>
          <w:rFonts w:ascii="宋体"/>
          <w:color w:val="auto"/>
          <w:sz w:val="28"/>
          <w:szCs w:val="28"/>
        </w:rPr>
      </w:pPr>
    </w:p>
    <w:p>
      <w:pPr>
        <w:jc w:val="center"/>
        <w:outlineLvl w:val="1"/>
        <w:rPr>
          <w:rFonts w:ascii="宋体"/>
          <w:b/>
          <w:color w:val="auto"/>
          <w:sz w:val="28"/>
          <w:szCs w:val="28"/>
        </w:rPr>
      </w:pPr>
      <w:bookmarkStart w:id="81" w:name="_Toc16518"/>
      <w:bookmarkStart w:id="82" w:name="_Toc15535"/>
      <w:r>
        <w:rPr>
          <w:rFonts w:hint="eastAsia" w:ascii="宋体" w:hAnsi="宋体"/>
          <w:b/>
          <w:color w:val="auto"/>
          <w:sz w:val="28"/>
          <w:szCs w:val="28"/>
        </w:rPr>
        <w:t>前三年，在经营活动中没有重大违法记录的声明</w:t>
      </w:r>
      <w:bookmarkEnd w:id="81"/>
      <w:bookmarkEnd w:id="82"/>
    </w:p>
    <w:p>
      <w:pPr>
        <w:rPr>
          <w:rFonts w:ascii="宋体"/>
          <w:color w:val="auto"/>
          <w:sz w:val="28"/>
          <w:szCs w:val="28"/>
        </w:rPr>
      </w:pPr>
    </w:p>
    <w:p>
      <w:pPr>
        <w:rPr>
          <w:rStyle w:val="185"/>
          <w:bCs/>
          <w:color w:val="auto"/>
          <w:sz w:val="28"/>
          <w:szCs w:val="28"/>
        </w:rPr>
      </w:pPr>
      <w:r>
        <w:rPr>
          <w:rStyle w:val="185"/>
          <w:rFonts w:hint="eastAsia"/>
          <w:bCs/>
          <w:color w:val="auto"/>
          <w:sz w:val="28"/>
          <w:szCs w:val="28"/>
        </w:rPr>
        <w:t>致：承德市政府采购中心</w:t>
      </w:r>
    </w:p>
    <w:p>
      <w:pPr>
        <w:ind w:firstLine="560" w:firstLineChars="200"/>
        <w:rPr>
          <w:rStyle w:val="185"/>
          <w:bCs/>
          <w:color w:val="auto"/>
          <w:sz w:val="28"/>
          <w:szCs w:val="28"/>
        </w:rPr>
      </w:pPr>
      <w:r>
        <w:rPr>
          <w:rStyle w:val="185"/>
          <w:rFonts w:hint="eastAsia"/>
          <w:bCs/>
          <w:color w:val="auto"/>
          <w:sz w:val="28"/>
          <w:szCs w:val="28"/>
        </w:rPr>
        <w:t>我单位前三年在经营活动中没有重大违法记录，特此声明</w:t>
      </w:r>
    </w:p>
    <w:p>
      <w:pPr>
        <w:ind w:firstLine="560" w:firstLineChars="200"/>
        <w:rPr>
          <w:rStyle w:val="185"/>
          <w:bCs/>
          <w:color w:val="auto"/>
          <w:sz w:val="28"/>
          <w:szCs w:val="28"/>
        </w:rPr>
      </w:pPr>
      <w:r>
        <w:rPr>
          <w:rStyle w:val="185"/>
          <w:rFonts w:hint="eastAsia"/>
          <w:bCs/>
          <w:color w:val="auto"/>
          <w:sz w:val="28"/>
          <w:szCs w:val="28"/>
        </w:rPr>
        <w:t>若采购人在本项目采购活动中发现我单位前三年内在经营活动中有重大违法记录，我单位将无条件地退出本项目的投标，并承担因此引起的一切后果。</w:t>
      </w:r>
    </w:p>
    <w:p>
      <w:pPr>
        <w:rPr>
          <w:rStyle w:val="185"/>
          <w:bCs/>
          <w:color w:val="auto"/>
          <w:sz w:val="28"/>
          <w:szCs w:val="28"/>
        </w:rPr>
      </w:pPr>
    </w:p>
    <w:p>
      <w:pPr>
        <w:ind w:firstLine="560" w:firstLineChars="200"/>
        <w:rPr>
          <w:rStyle w:val="185"/>
          <w:bCs/>
          <w:color w:val="auto"/>
          <w:sz w:val="28"/>
          <w:szCs w:val="28"/>
        </w:rPr>
      </w:pPr>
      <w:r>
        <w:rPr>
          <w:rStyle w:val="185"/>
          <w:rFonts w:hint="eastAsia"/>
          <w:bCs/>
          <w:color w:val="auto"/>
          <w:sz w:val="28"/>
          <w:szCs w:val="28"/>
        </w:rPr>
        <w:t>供应商名称（公章）：</w:t>
      </w:r>
      <w:r>
        <w:rPr>
          <w:rFonts w:ascii="仿宋_GB2312" w:hAnsi="宋体" w:eastAsia="仿宋_GB2312"/>
          <w:color w:val="auto"/>
          <w:sz w:val="24"/>
          <w:u w:val="single"/>
        </w:rPr>
        <w:t xml:space="preserve">                                        </w:t>
      </w:r>
    </w:p>
    <w:p>
      <w:pPr>
        <w:ind w:firstLine="560" w:firstLineChars="200"/>
        <w:rPr>
          <w:rStyle w:val="185"/>
          <w:bCs/>
          <w:color w:val="auto"/>
          <w:sz w:val="28"/>
          <w:szCs w:val="28"/>
        </w:rPr>
      </w:pPr>
      <w:r>
        <w:rPr>
          <w:rStyle w:val="185"/>
          <w:rFonts w:hint="eastAsia"/>
          <w:bCs/>
          <w:color w:val="auto"/>
          <w:sz w:val="28"/>
          <w:szCs w:val="28"/>
        </w:rPr>
        <w:t>法定代表人或</w:t>
      </w:r>
      <w:r>
        <w:rPr>
          <w:rFonts w:hint="eastAsia" w:ascii="宋体" w:hAnsi="宋体"/>
          <w:color w:val="auto"/>
          <w:sz w:val="28"/>
          <w:szCs w:val="28"/>
        </w:rPr>
        <w:t>被授权委托人</w:t>
      </w:r>
      <w:r>
        <w:rPr>
          <w:rStyle w:val="185"/>
          <w:rFonts w:hint="eastAsia"/>
          <w:bCs/>
          <w:color w:val="auto"/>
          <w:sz w:val="28"/>
          <w:szCs w:val="28"/>
        </w:rPr>
        <w:t>（</w:t>
      </w:r>
      <w:r>
        <w:rPr>
          <w:rStyle w:val="185"/>
          <w:rFonts w:hint="eastAsia" w:ascii="宋体"/>
          <w:bCs/>
          <w:color w:val="auto"/>
          <w:kern w:val="0"/>
          <w:sz w:val="24"/>
        </w:rPr>
        <w:t>签字或盖章</w:t>
      </w:r>
      <w:r>
        <w:rPr>
          <w:rStyle w:val="185"/>
          <w:rFonts w:hint="eastAsia"/>
          <w:bCs/>
          <w:color w:val="auto"/>
          <w:sz w:val="28"/>
          <w:szCs w:val="28"/>
        </w:rPr>
        <w:t>）：</w:t>
      </w:r>
      <w:r>
        <w:rPr>
          <w:rFonts w:ascii="仿宋_GB2312" w:hAnsi="宋体" w:eastAsia="仿宋_GB2312"/>
          <w:color w:val="auto"/>
          <w:sz w:val="24"/>
          <w:u w:val="single"/>
        </w:rPr>
        <w:t xml:space="preserve">                  </w:t>
      </w:r>
    </w:p>
    <w:p>
      <w:pPr>
        <w:ind w:firstLine="6020" w:firstLineChars="2150"/>
        <w:rPr>
          <w:rStyle w:val="185"/>
          <w:bCs/>
          <w:color w:val="auto"/>
          <w:sz w:val="28"/>
          <w:szCs w:val="28"/>
        </w:rPr>
      </w:pPr>
      <w:r>
        <w:rPr>
          <w:rStyle w:val="185"/>
          <w:rFonts w:hint="eastAsia"/>
          <w:bCs/>
          <w:color w:val="auto"/>
          <w:sz w:val="28"/>
          <w:szCs w:val="28"/>
        </w:rPr>
        <w:t>日期：</w:t>
      </w:r>
      <w:r>
        <w:rPr>
          <w:rFonts w:ascii="仿宋_GB2312" w:hAnsi="宋体" w:eastAsia="仿宋_GB2312"/>
          <w:color w:val="auto"/>
          <w:sz w:val="24"/>
          <w:u w:val="single"/>
        </w:rPr>
        <w:t xml:space="preserve">          </w:t>
      </w:r>
    </w:p>
    <w:p>
      <w:pPr>
        <w:pStyle w:val="34"/>
        <w:shd w:val="clear" w:color="auto" w:fill="FFFFFF"/>
        <w:spacing w:before="0" w:beforeAutospacing="0" w:after="0" w:afterAutospacing="0" w:line="240" w:lineRule="atLeast"/>
        <w:ind w:firstLine="560" w:firstLineChars="200"/>
        <w:rPr>
          <w:rStyle w:val="185"/>
          <w:bCs/>
          <w:color w:val="auto"/>
          <w:sz w:val="28"/>
          <w:szCs w:val="28"/>
        </w:rPr>
      </w:pPr>
    </w:p>
    <w:p>
      <w:pPr>
        <w:pStyle w:val="34"/>
        <w:shd w:val="clear" w:color="auto" w:fill="FFFFFF"/>
        <w:spacing w:before="0" w:beforeAutospacing="0" w:after="0" w:afterAutospacing="0" w:line="240" w:lineRule="atLeast"/>
        <w:ind w:firstLine="560" w:firstLineChars="200"/>
        <w:rPr>
          <w:rStyle w:val="185"/>
          <w:bCs/>
          <w:color w:val="auto"/>
          <w:sz w:val="28"/>
          <w:szCs w:val="28"/>
        </w:rPr>
      </w:pPr>
    </w:p>
    <w:p>
      <w:pPr>
        <w:pStyle w:val="34"/>
        <w:shd w:val="clear" w:color="auto" w:fill="FFFFFF"/>
        <w:spacing w:before="0" w:beforeAutospacing="0" w:after="0" w:afterAutospacing="0" w:line="240" w:lineRule="atLeast"/>
        <w:ind w:firstLine="560" w:firstLineChars="200"/>
        <w:rPr>
          <w:rStyle w:val="185"/>
          <w:bCs/>
          <w:color w:val="auto"/>
          <w:sz w:val="28"/>
          <w:szCs w:val="28"/>
        </w:rPr>
      </w:pPr>
      <w:r>
        <w:rPr>
          <w:rStyle w:val="185"/>
          <w:rFonts w:hint="eastAsia"/>
          <w:bCs/>
          <w:color w:val="auto"/>
          <w:sz w:val="28"/>
          <w:szCs w:val="28"/>
        </w:rPr>
        <w:t>注：重大违法记录，是指供应商因违法经营受到刑事处罚或者责令停产停业、吊销许可证或者执照、较大数额罚款等行政处罚。</w:t>
      </w:r>
    </w:p>
    <w:p>
      <w:pPr>
        <w:spacing w:line="360" w:lineRule="auto"/>
        <w:rPr>
          <w:rFonts w:ascii="宋体"/>
          <w:color w:val="auto"/>
          <w:sz w:val="28"/>
          <w:szCs w:val="28"/>
        </w:rPr>
      </w:pPr>
      <w:r>
        <w:rPr>
          <w:rFonts w:ascii="宋体"/>
          <w:color w:val="auto"/>
          <w:sz w:val="28"/>
          <w:szCs w:val="28"/>
        </w:rPr>
        <w:br w:type="page"/>
      </w:r>
      <w:r>
        <w:rPr>
          <w:rFonts w:hint="eastAsia" w:ascii="宋体" w:hAnsi="宋体"/>
          <w:color w:val="auto"/>
          <w:sz w:val="28"/>
          <w:szCs w:val="28"/>
        </w:rPr>
        <w:t>附件</w:t>
      </w:r>
      <w:r>
        <w:rPr>
          <w:rFonts w:ascii="宋体" w:hAnsi="宋体"/>
          <w:color w:val="auto"/>
          <w:sz w:val="28"/>
          <w:szCs w:val="28"/>
        </w:rPr>
        <w:t>19</w:t>
      </w:r>
      <w:r>
        <w:rPr>
          <w:rFonts w:hint="eastAsia" w:ascii="宋体" w:hAnsi="宋体"/>
          <w:color w:val="auto"/>
          <w:sz w:val="28"/>
          <w:szCs w:val="28"/>
        </w:rPr>
        <w:t>：</w:t>
      </w:r>
    </w:p>
    <w:p>
      <w:pPr>
        <w:pStyle w:val="104"/>
        <w:jc w:val="center"/>
        <w:outlineLvl w:val="1"/>
        <w:rPr>
          <w:rFonts w:ascii="宋体" w:hAnsi="宋体"/>
          <w:bCs/>
          <w:color w:val="auto"/>
          <w:sz w:val="30"/>
          <w:szCs w:val="30"/>
        </w:rPr>
      </w:pPr>
      <w:bookmarkStart w:id="83" w:name="_Toc5656"/>
      <w:bookmarkStart w:id="84" w:name="_Toc28150"/>
      <w:r>
        <w:rPr>
          <w:rFonts w:hint="eastAsia" w:ascii="宋体" w:hAnsi="宋体"/>
          <w:b/>
          <w:color w:val="auto"/>
          <w:sz w:val="28"/>
          <w:szCs w:val="28"/>
        </w:rPr>
        <w:t>承德市政府采购供应商诚信承诺书</w:t>
      </w:r>
      <w:bookmarkEnd w:id="83"/>
      <w:bookmarkEnd w:id="84"/>
    </w:p>
    <w:p>
      <w:pPr>
        <w:spacing w:line="400" w:lineRule="exact"/>
        <w:rPr>
          <w:rStyle w:val="185"/>
          <w:rFonts w:ascii="宋体"/>
          <w:bCs/>
          <w:color w:val="auto"/>
          <w:kern w:val="0"/>
          <w:sz w:val="24"/>
          <w:szCs w:val="32"/>
        </w:rPr>
      </w:pPr>
      <w:r>
        <w:rPr>
          <w:rStyle w:val="185"/>
          <w:rFonts w:hint="eastAsia" w:ascii="宋体"/>
          <w:bCs/>
          <w:color w:val="auto"/>
          <w:kern w:val="0"/>
          <w:sz w:val="24"/>
          <w:szCs w:val="32"/>
        </w:rPr>
        <w:t>承德市政府采购中心：</w:t>
      </w:r>
    </w:p>
    <w:p>
      <w:pPr>
        <w:spacing w:line="400" w:lineRule="exact"/>
        <w:ind w:firstLine="480" w:firstLineChars="200"/>
        <w:rPr>
          <w:rStyle w:val="185"/>
          <w:rFonts w:ascii="宋体"/>
          <w:bCs/>
          <w:color w:val="auto"/>
          <w:kern w:val="0"/>
          <w:sz w:val="24"/>
          <w:szCs w:val="32"/>
        </w:rPr>
      </w:pPr>
      <w:r>
        <w:rPr>
          <w:rStyle w:val="185"/>
          <w:rFonts w:hint="eastAsia" w:ascii="宋体"/>
          <w:bCs/>
          <w:color w:val="auto"/>
          <w:kern w:val="0"/>
          <w:sz w:val="24"/>
          <w:szCs w:val="32"/>
        </w:rPr>
        <w:t>我公司自愿参与贵中心组织的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（一）提供虚假材料谋取中标的；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（二）采取不正当手段诋毁、排挤其他供应商的；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（三）与招标采购单位、其他投标人恶意串通的；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（四）向招标采购单位行贿或提供其他不正当利益的；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（五）在招标过程中与招标采购单位进行协商谈判、不按照招标文件和投标文件订立合同，或者与采购人另立背离合同实质性内容协议的；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（六）中标后无正当理由，在规定时间内不与采购单位签订合同的；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（七）将中标项目转让给他人或非法分包他人的；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（八）无正当理由，拒绝履行合同义务的；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（九）无正当理由放弃中标（成交）项目的；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（十）擅自或与采购人串通或接受采购人要求，在履约合同中通过减少货物数量，更换品牌、降低配置、技术要求、质量和服务标准等，却仍按原合同进行虚假验收或终止政府采购合同的；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（十</w:t>
      </w:r>
      <w:r>
        <w:rPr>
          <w:rStyle w:val="185"/>
          <w:rFonts w:hint="eastAsia" w:ascii="宋体"/>
          <w:bCs/>
          <w:color w:val="auto"/>
          <w:kern w:val="0"/>
          <w:sz w:val="24"/>
          <w:szCs w:val="32"/>
          <w:lang w:eastAsia="zh-CN"/>
        </w:rPr>
        <w:t>一</w:t>
      </w:r>
      <w:r>
        <w:rPr>
          <w:rStyle w:val="185"/>
          <w:rFonts w:hint="eastAsia" w:ascii="宋体"/>
          <w:bCs/>
          <w:color w:val="auto"/>
          <w:kern w:val="0"/>
          <w:sz w:val="24"/>
          <w:szCs w:val="32"/>
        </w:rPr>
        <w:t>）与采购人串通，对尚未履约完毕的采购项目出具虚假验收报告的；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（十</w:t>
      </w:r>
      <w:r>
        <w:rPr>
          <w:rStyle w:val="185"/>
          <w:rFonts w:hint="eastAsia" w:ascii="宋体"/>
          <w:bCs/>
          <w:color w:val="auto"/>
          <w:kern w:val="0"/>
          <w:sz w:val="24"/>
          <w:szCs w:val="32"/>
          <w:lang w:eastAsia="zh-CN"/>
        </w:rPr>
        <w:t>二</w:t>
      </w:r>
      <w:r>
        <w:rPr>
          <w:rStyle w:val="185"/>
          <w:rFonts w:hint="eastAsia" w:ascii="宋体"/>
          <w:bCs/>
          <w:color w:val="auto"/>
          <w:kern w:val="0"/>
          <w:sz w:val="24"/>
          <w:szCs w:val="32"/>
        </w:rPr>
        <w:t>）无不可抗力因素，拒绝提供售后服务、售后服务态度恶劣、故意提高维修配件价格（高于市场平均价）的；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（十</w:t>
      </w:r>
      <w:r>
        <w:rPr>
          <w:rStyle w:val="185"/>
          <w:rFonts w:hint="eastAsia" w:ascii="宋体"/>
          <w:bCs/>
          <w:color w:val="auto"/>
          <w:kern w:val="0"/>
          <w:sz w:val="24"/>
          <w:szCs w:val="32"/>
          <w:lang w:eastAsia="zh-CN"/>
        </w:rPr>
        <w:t>三</w:t>
      </w:r>
      <w:r>
        <w:rPr>
          <w:rStyle w:val="185"/>
          <w:rFonts w:hint="eastAsia" w:ascii="宋体"/>
          <w:bCs/>
          <w:color w:val="auto"/>
          <w:kern w:val="0"/>
          <w:sz w:val="24"/>
          <w:szCs w:val="32"/>
        </w:rPr>
        <w:t>）开标后对招标文件的相关内容再进行质疑的；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（十四）恶意投诉的行为：投诉经查无实据的、捏造事实或者提供虚假投诉材料的；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（十</w:t>
      </w:r>
      <w:r>
        <w:rPr>
          <w:rStyle w:val="185"/>
          <w:rFonts w:hint="eastAsia" w:ascii="宋体"/>
          <w:bCs/>
          <w:color w:val="auto"/>
          <w:kern w:val="0"/>
          <w:sz w:val="24"/>
          <w:szCs w:val="32"/>
          <w:lang w:eastAsia="zh-CN"/>
        </w:rPr>
        <w:t>五</w:t>
      </w:r>
      <w:r>
        <w:rPr>
          <w:rStyle w:val="185"/>
          <w:rFonts w:hint="eastAsia" w:ascii="宋体"/>
          <w:bCs/>
          <w:color w:val="auto"/>
          <w:kern w:val="0"/>
          <w:sz w:val="24"/>
          <w:szCs w:val="32"/>
        </w:rPr>
        <w:t>）拒绝有关部门监督检查或者提供虚假情况的；</w:t>
      </w:r>
    </w:p>
    <w:p>
      <w:pPr>
        <w:spacing w:line="400" w:lineRule="exact"/>
        <w:rPr>
          <w:rStyle w:val="185"/>
          <w:rFonts w:ascii="宋体"/>
          <w:bCs/>
          <w:color w:val="auto"/>
          <w:kern w:val="0"/>
          <w:sz w:val="24"/>
          <w:szCs w:val="32"/>
        </w:rPr>
      </w:pPr>
      <w:r>
        <w:rPr>
          <w:rStyle w:val="185"/>
          <w:rFonts w:hint="eastAsia" w:ascii="宋体"/>
          <w:bCs/>
          <w:color w:val="auto"/>
          <w:kern w:val="0"/>
          <w:sz w:val="24"/>
          <w:szCs w:val="32"/>
        </w:rPr>
        <w:t>（十</w:t>
      </w:r>
      <w:r>
        <w:rPr>
          <w:rStyle w:val="185"/>
          <w:rFonts w:hint="eastAsia" w:ascii="宋体"/>
          <w:bCs/>
          <w:color w:val="auto"/>
          <w:kern w:val="0"/>
          <w:sz w:val="24"/>
          <w:szCs w:val="32"/>
          <w:lang w:eastAsia="zh-CN"/>
        </w:rPr>
        <w:t>六</w:t>
      </w:r>
      <w:r>
        <w:rPr>
          <w:rStyle w:val="185"/>
          <w:rFonts w:hint="eastAsia" w:ascii="宋体"/>
          <w:bCs/>
          <w:color w:val="auto"/>
          <w:kern w:val="0"/>
          <w:sz w:val="24"/>
          <w:szCs w:val="32"/>
        </w:rPr>
        <w:t>）财政、监察部门认定的其他不诚信行为。</w:t>
      </w:r>
    </w:p>
    <w:p>
      <w:pPr>
        <w:spacing w:line="400" w:lineRule="exact"/>
        <w:rPr>
          <w:rStyle w:val="185"/>
          <w:rFonts w:ascii="宋体"/>
          <w:bCs/>
          <w:color w:val="auto"/>
          <w:kern w:val="0"/>
          <w:sz w:val="24"/>
          <w:szCs w:val="32"/>
        </w:rPr>
      </w:pPr>
    </w:p>
    <w:p>
      <w:pPr>
        <w:spacing w:line="400" w:lineRule="exact"/>
        <w:ind w:firstLine="2280" w:firstLineChars="950"/>
        <w:rPr>
          <w:rStyle w:val="185"/>
          <w:rFonts w:ascii="宋体"/>
          <w:bCs/>
          <w:color w:val="auto"/>
          <w:kern w:val="0"/>
          <w:sz w:val="24"/>
          <w:szCs w:val="32"/>
        </w:rPr>
      </w:pPr>
      <w:r>
        <w:rPr>
          <w:rStyle w:val="185"/>
          <w:rFonts w:ascii="宋体"/>
          <w:bCs/>
          <w:color w:val="auto"/>
          <w:kern w:val="0"/>
          <w:sz w:val="24"/>
          <w:szCs w:val="32"/>
        </w:rPr>
        <w:t xml:space="preserve">  </w:t>
      </w:r>
      <w:r>
        <w:rPr>
          <w:rStyle w:val="185"/>
          <w:rFonts w:hint="eastAsia" w:ascii="宋体"/>
          <w:bCs/>
          <w:color w:val="auto"/>
          <w:kern w:val="0"/>
          <w:sz w:val="24"/>
          <w:szCs w:val="32"/>
        </w:rPr>
        <w:t>公司名称</w:t>
      </w:r>
      <w:r>
        <w:rPr>
          <w:rStyle w:val="185"/>
          <w:rFonts w:ascii="宋体"/>
          <w:bCs/>
          <w:color w:val="auto"/>
          <w:kern w:val="0"/>
          <w:sz w:val="24"/>
          <w:szCs w:val="32"/>
        </w:rPr>
        <w:t>:</w:t>
      </w:r>
      <w:r>
        <w:rPr>
          <w:rFonts w:ascii="仿宋_GB2312" w:hAnsi="宋体" w:eastAsia="仿宋_GB2312"/>
          <w:color w:val="auto"/>
          <w:sz w:val="32"/>
          <w:szCs w:val="32"/>
          <w:u w:val="single"/>
        </w:rPr>
        <w:t xml:space="preserve">         </w:t>
      </w:r>
      <w:r>
        <w:rPr>
          <w:rStyle w:val="185"/>
          <w:rFonts w:hint="eastAsia" w:ascii="宋体"/>
          <w:bCs/>
          <w:color w:val="auto"/>
          <w:kern w:val="0"/>
          <w:sz w:val="24"/>
          <w:szCs w:val="32"/>
        </w:rPr>
        <w:t>（盖章）</w:t>
      </w:r>
    </w:p>
    <w:p>
      <w:pPr>
        <w:spacing w:line="400" w:lineRule="exact"/>
        <w:ind w:firstLine="2520" w:firstLineChars="1050"/>
        <w:rPr>
          <w:rStyle w:val="185"/>
          <w:rFonts w:ascii="宋体"/>
          <w:bCs/>
          <w:color w:val="auto"/>
          <w:kern w:val="0"/>
          <w:sz w:val="24"/>
          <w:szCs w:val="32"/>
        </w:rPr>
      </w:pPr>
      <w:r>
        <w:rPr>
          <w:rStyle w:val="185"/>
          <w:rFonts w:hint="eastAsia" w:ascii="宋体"/>
          <w:bCs/>
          <w:color w:val="auto"/>
          <w:kern w:val="0"/>
          <w:sz w:val="24"/>
          <w:szCs w:val="32"/>
        </w:rPr>
        <w:t>法人代表或被授权委托人</w:t>
      </w:r>
      <w:r>
        <w:rPr>
          <w:rStyle w:val="185"/>
          <w:rFonts w:hint="eastAsia"/>
          <w:bCs/>
          <w:color w:val="auto"/>
          <w:sz w:val="36"/>
          <w:szCs w:val="36"/>
        </w:rPr>
        <w:t>（</w:t>
      </w:r>
      <w:r>
        <w:rPr>
          <w:rStyle w:val="185"/>
          <w:rFonts w:hint="eastAsia" w:ascii="宋体"/>
          <w:bCs/>
          <w:color w:val="auto"/>
          <w:kern w:val="0"/>
          <w:sz w:val="24"/>
          <w:szCs w:val="32"/>
        </w:rPr>
        <w:t>签字或盖章</w:t>
      </w:r>
      <w:r>
        <w:rPr>
          <w:rStyle w:val="185"/>
          <w:rFonts w:hint="eastAsia"/>
          <w:bCs/>
          <w:color w:val="auto"/>
          <w:sz w:val="36"/>
          <w:szCs w:val="36"/>
        </w:rPr>
        <w:t>）</w:t>
      </w:r>
      <w:r>
        <w:rPr>
          <w:rStyle w:val="185"/>
          <w:rFonts w:hint="eastAsia" w:ascii="宋体"/>
          <w:bCs/>
          <w:color w:val="auto"/>
          <w:kern w:val="0"/>
          <w:sz w:val="24"/>
          <w:szCs w:val="32"/>
        </w:rPr>
        <w:t>：</w:t>
      </w:r>
      <w:r>
        <w:rPr>
          <w:rFonts w:ascii="仿宋_GB2312" w:hAnsi="宋体" w:eastAsia="仿宋_GB2312"/>
          <w:color w:val="auto"/>
          <w:sz w:val="32"/>
          <w:szCs w:val="32"/>
          <w:u w:val="single"/>
        </w:rPr>
        <w:t xml:space="preserve">         </w:t>
      </w:r>
    </w:p>
    <w:p>
      <w:pPr>
        <w:spacing w:line="400" w:lineRule="exact"/>
        <w:outlineLvl w:val="9"/>
        <w:rPr>
          <w:rStyle w:val="185"/>
          <w:rFonts w:ascii="宋体"/>
          <w:bCs/>
          <w:color w:val="auto"/>
          <w:kern w:val="0"/>
          <w:sz w:val="24"/>
          <w:szCs w:val="32"/>
        </w:rPr>
      </w:pPr>
      <w:r>
        <w:rPr>
          <w:rStyle w:val="185"/>
          <w:rFonts w:ascii="宋体"/>
          <w:bCs/>
          <w:color w:val="auto"/>
          <w:kern w:val="0"/>
          <w:sz w:val="24"/>
          <w:szCs w:val="32"/>
        </w:rPr>
        <w:t xml:space="preserve">                  </w:t>
      </w:r>
      <w:r>
        <w:rPr>
          <w:rStyle w:val="185"/>
          <w:rFonts w:ascii="宋体"/>
          <w:bCs/>
          <w:color w:val="auto"/>
          <w:kern w:val="0"/>
          <w:sz w:val="22"/>
          <w:szCs w:val="28"/>
        </w:rPr>
        <w:t xml:space="preserve"> </w:t>
      </w:r>
      <w:r>
        <w:rPr>
          <w:rStyle w:val="185"/>
          <w:rFonts w:ascii="宋体"/>
          <w:bCs/>
          <w:color w:val="auto"/>
          <w:kern w:val="0"/>
          <w:sz w:val="21"/>
          <w:szCs w:val="24"/>
        </w:rPr>
        <w:t xml:space="preserve">  </w:t>
      </w:r>
      <w:r>
        <w:rPr>
          <w:rFonts w:ascii="仿宋_GB2312" w:hAnsi="宋体" w:eastAsia="仿宋_GB2312"/>
          <w:color w:val="auto"/>
          <w:sz w:val="24"/>
          <w:szCs w:val="24"/>
          <w:u w:val="single"/>
        </w:rPr>
        <w:t xml:space="preserve">       </w:t>
      </w:r>
      <w:r>
        <w:rPr>
          <w:rFonts w:hint="eastAsia" w:ascii="宋体" w:hAnsi="宋体"/>
          <w:color w:val="auto"/>
          <w:sz w:val="24"/>
          <w:szCs w:val="24"/>
          <w:lang w:val="en-GB"/>
        </w:rPr>
        <w:t>年</w:t>
      </w:r>
      <w:r>
        <w:rPr>
          <w:rFonts w:ascii="仿宋_GB2312" w:hAnsi="宋体" w:eastAsia="仿宋_GB2312"/>
          <w:color w:val="auto"/>
          <w:sz w:val="24"/>
          <w:szCs w:val="24"/>
          <w:u w:val="single"/>
        </w:rPr>
        <w:t xml:space="preserve">       </w:t>
      </w:r>
      <w:r>
        <w:rPr>
          <w:rFonts w:hint="eastAsia" w:ascii="宋体" w:hAnsi="宋体"/>
          <w:color w:val="auto"/>
          <w:sz w:val="24"/>
          <w:szCs w:val="24"/>
          <w:lang w:val="en-GB"/>
        </w:rPr>
        <w:t>月</w:t>
      </w:r>
      <w:r>
        <w:rPr>
          <w:rFonts w:ascii="仿宋_GB2312" w:hAnsi="宋体" w:eastAsia="仿宋_GB2312"/>
          <w:color w:val="auto"/>
          <w:sz w:val="24"/>
          <w:szCs w:val="24"/>
          <w:u w:val="single"/>
        </w:rPr>
        <w:t xml:space="preserve">       </w:t>
      </w:r>
      <w:r>
        <w:rPr>
          <w:rFonts w:hint="eastAsia" w:ascii="宋体" w:hAnsi="宋体"/>
          <w:color w:val="auto"/>
          <w:sz w:val="24"/>
          <w:szCs w:val="24"/>
          <w:lang w:val="en-GB"/>
        </w:rPr>
        <w:t>日</w:t>
      </w:r>
    </w:p>
    <w:p>
      <w:pPr>
        <w:pStyle w:val="200"/>
        <w:rPr>
          <w:rFonts w:ascii="宋体" w:hAnsi="宋体"/>
          <w:lang w:val="en-US" w:eastAsia="zh-CN"/>
        </w:rPr>
      </w:pPr>
      <w:r>
        <w:rPr>
          <w:rFonts w:hint="eastAsia" w:ascii="宋体" w:hAnsi="宋体"/>
          <w:spacing w:val="0"/>
          <w:kern w:val="2"/>
          <w:sz w:val="28"/>
          <w:szCs w:val="28"/>
          <w:lang w:val="en-US" w:eastAsia="zh-CN"/>
        </w:rPr>
        <w:br w:type="page"/>
      </w:r>
      <w:r>
        <w:rPr>
          <w:rFonts w:hint="eastAsia" w:ascii="宋体" w:hAnsi="宋体"/>
          <w:spacing w:val="0"/>
          <w:kern w:val="2"/>
          <w:sz w:val="28"/>
          <w:szCs w:val="28"/>
          <w:lang w:val="en-US" w:eastAsia="zh-CN"/>
        </w:rPr>
        <w:t>附件20：</w:t>
      </w:r>
    </w:p>
    <w:p>
      <w:pPr>
        <w:jc w:val="center"/>
        <w:rPr>
          <w:sz w:val="30"/>
          <w:szCs w:val="30"/>
        </w:rPr>
      </w:pPr>
    </w:p>
    <w:p>
      <w:pPr>
        <w:jc w:val="center"/>
        <w:outlineLvl w:val="1"/>
        <w:rPr>
          <w:b/>
          <w:bCs/>
          <w:sz w:val="30"/>
          <w:szCs w:val="30"/>
        </w:rPr>
      </w:pPr>
      <w:bookmarkStart w:id="85" w:name="_Toc28895"/>
      <w:bookmarkStart w:id="86" w:name="_Toc7513"/>
      <w:bookmarkStart w:id="87" w:name="_Toc686"/>
      <w:r>
        <w:rPr>
          <w:rFonts w:hint="eastAsia"/>
          <w:b/>
          <w:bCs/>
          <w:sz w:val="30"/>
          <w:szCs w:val="30"/>
        </w:rPr>
        <w:t>承诺函</w:t>
      </w:r>
      <w:bookmarkEnd w:id="85"/>
      <w:bookmarkEnd w:id="86"/>
      <w:bookmarkEnd w:id="87"/>
    </w:p>
    <w:p>
      <w:pPr>
        <w:jc w:val="left"/>
        <w:rPr>
          <w:sz w:val="28"/>
          <w:szCs w:val="28"/>
        </w:rPr>
      </w:pPr>
      <w:r>
        <w:rPr>
          <w:rFonts w:hint="eastAsia"/>
          <w:sz w:val="28"/>
          <w:szCs w:val="28"/>
          <w:u w:val="single"/>
        </w:rPr>
        <w:t>致（采购人名称）</w:t>
      </w:r>
      <w:r>
        <w:rPr>
          <w:rFonts w:hint="eastAsia"/>
          <w:sz w:val="28"/>
          <w:szCs w:val="28"/>
        </w:rPr>
        <w:t>：</w:t>
      </w:r>
    </w:p>
    <w:p>
      <w:pPr>
        <w:ind w:firstLine="560" w:firstLineChars="200"/>
        <w:jc w:val="left"/>
        <w:rPr>
          <w:sz w:val="28"/>
          <w:szCs w:val="28"/>
        </w:rPr>
      </w:pPr>
      <w:r>
        <w:rPr>
          <w:rFonts w:hint="eastAsia"/>
          <w:sz w:val="28"/>
          <w:szCs w:val="28"/>
        </w:rPr>
        <w:t>现有我公司</w:t>
      </w:r>
      <w:r>
        <w:rPr>
          <w:rFonts w:hint="eastAsia"/>
          <w:sz w:val="28"/>
          <w:szCs w:val="28"/>
          <w:u w:val="single"/>
        </w:rPr>
        <w:t>（供应商名称）</w:t>
      </w:r>
      <w:r>
        <w:rPr>
          <w:rFonts w:hint="eastAsia"/>
          <w:sz w:val="28"/>
          <w:szCs w:val="28"/>
        </w:rPr>
        <w:t>参加</w:t>
      </w:r>
      <w:r>
        <w:rPr>
          <w:rFonts w:hint="eastAsia"/>
          <w:sz w:val="28"/>
          <w:szCs w:val="28"/>
          <w:u w:val="single"/>
        </w:rPr>
        <w:t>（项目名称）</w:t>
      </w:r>
      <w:r>
        <w:rPr>
          <w:rFonts w:hint="eastAsia"/>
          <w:sz w:val="28"/>
          <w:szCs w:val="28"/>
        </w:rPr>
        <w:t>，于年月日时分在</w:t>
      </w:r>
      <w:r>
        <w:rPr>
          <w:rFonts w:hint="eastAsia"/>
          <w:sz w:val="28"/>
          <w:szCs w:val="28"/>
          <w:u w:val="single"/>
        </w:rPr>
        <w:t>承德市公共资源交易中心</w:t>
      </w:r>
      <w:r>
        <w:rPr>
          <w:rFonts w:hint="eastAsia"/>
          <w:sz w:val="28"/>
          <w:szCs w:val="28"/>
        </w:rPr>
        <w:t>进行开标，根据《中华人民共和国政府采购法》中对供应商资格规定的情形，我公司现作出如下承诺：</w:t>
      </w:r>
    </w:p>
    <w:p>
      <w:pPr>
        <w:ind w:firstLine="560" w:firstLineChars="200"/>
        <w:jc w:val="left"/>
        <w:rPr>
          <w:sz w:val="28"/>
          <w:szCs w:val="28"/>
        </w:rPr>
      </w:pPr>
      <w:r>
        <w:rPr>
          <w:rFonts w:hint="eastAsia"/>
          <w:sz w:val="28"/>
          <w:szCs w:val="28"/>
        </w:rPr>
        <w:t>1、具有良好的商业信誉和健全的财务制度；</w:t>
      </w:r>
    </w:p>
    <w:p>
      <w:pPr>
        <w:ind w:firstLine="560" w:firstLineChars="200"/>
        <w:jc w:val="left"/>
        <w:rPr>
          <w:sz w:val="28"/>
          <w:szCs w:val="28"/>
        </w:rPr>
      </w:pPr>
      <w:r>
        <w:rPr>
          <w:rFonts w:hint="eastAsia"/>
          <w:sz w:val="28"/>
          <w:szCs w:val="28"/>
        </w:rPr>
        <w:t>2、有依法缴纳税收和社会保障资金的良好记录；</w:t>
      </w:r>
    </w:p>
    <w:p>
      <w:pPr>
        <w:ind w:firstLine="560" w:firstLineChars="200"/>
        <w:jc w:val="left"/>
        <w:rPr>
          <w:sz w:val="28"/>
          <w:szCs w:val="28"/>
        </w:rPr>
      </w:pPr>
      <w:r>
        <w:rPr>
          <w:rFonts w:hint="eastAsia"/>
          <w:sz w:val="28"/>
          <w:szCs w:val="28"/>
        </w:rPr>
        <w:t>上述我公司承诺内容真实有效，如与承诺内容不符，我公司自愿接受任何处罚并承担相应损失。</w:t>
      </w:r>
    </w:p>
    <w:p>
      <w:pPr>
        <w:ind w:firstLine="560" w:firstLineChars="200"/>
        <w:jc w:val="left"/>
        <w:rPr>
          <w:sz w:val="28"/>
          <w:szCs w:val="28"/>
        </w:rPr>
      </w:pPr>
      <w:r>
        <w:rPr>
          <w:rFonts w:hint="eastAsia"/>
          <w:sz w:val="28"/>
          <w:szCs w:val="28"/>
        </w:rPr>
        <w:t>特此承诺！</w:t>
      </w:r>
    </w:p>
    <w:p>
      <w:pPr>
        <w:ind w:firstLine="560" w:firstLineChars="200"/>
        <w:jc w:val="right"/>
        <w:rPr>
          <w:sz w:val="28"/>
          <w:szCs w:val="28"/>
          <w:u w:val="single"/>
        </w:rPr>
      </w:pPr>
      <w:r>
        <w:rPr>
          <w:rFonts w:hint="eastAsia"/>
          <w:sz w:val="28"/>
          <w:szCs w:val="28"/>
        </w:rPr>
        <w:t>承诺人：</w:t>
      </w:r>
      <w:r>
        <w:rPr>
          <w:rFonts w:hint="eastAsia"/>
          <w:sz w:val="28"/>
          <w:szCs w:val="28"/>
          <w:u w:val="single"/>
        </w:rPr>
        <w:t>（供应商名称加盖公章）</w:t>
      </w:r>
    </w:p>
    <w:p>
      <w:pPr>
        <w:ind w:firstLine="560" w:firstLineChars="200"/>
        <w:jc w:val="right"/>
        <w:rPr>
          <w:sz w:val="28"/>
          <w:szCs w:val="28"/>
        </w:rPr>
      </w:pPr>
    </w:p>
    <w:p>
      <w:pPr>
        <w:ind w:firstLine="480" w:firstLineChars="200"/>
        <w:jc w:val="right"/>
        <w:rPr>
          <w:sz w:val="24"/>
          <w:szCs w:val="24"/>
        </w:rPr>
      </w:pPr>
      <w:r>
        <w:rPr>
          <w:rFonts w:hint="eastAsia"/>
          <w:sz w:val="24"/>
          <w:szCs w:val="24"/>
        </w:rPr>
        <w:t>年    月    日</w:t>
      </w:r>
    </w:p>
    <w:p>
      <w:pPr>
        <w:numPr>
          <w:ilvl w:val="0"/>
          <w:numId w:val="0"/>
        </w:numPr>
        <w:jc w:val="both"/>
        <w:rPr>
          <w:rFonts w:ascii="宋体"/>
          <w:color w:val="auto"/>
          <w:sz w:val="24"/>
          <w:lang w:val="en-GB"/>
        </w:rPr>
      </w:pPr>
    </w:p>
    <w:sectPr>
      <w:footerReference r:id="rId9" w:type="first"/>
      <w:headerReference r:id="rId7" w:type="default"/>
      <w:footerReference r:id="rId8" w:type="default"/>
      <w:pgSz w:w="11906" w:h="16838"/>
      <w:pgMar w:top="1440" w:right="1587" w:bottom="1440"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YaHeiLight">
    <w:altName w:val="Segoe Print"/>
    <w:panose1 w:val="00000000000000000000"/>
    <w:charset w:val="00"/>
    <w:family w:val="roman"/>
    <w:pitch w:val="default"/>
    <w:sig w:usb0="00000000" w:usb1="00000000" w:usb2="00000000" w:usb3="00000000" w:csb0="00000001" w:csb1="00000000"/>
  </w:font>
  <w:font w:name="HPSimplified-Regular">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amp;quot">
    <w:altName w:val="Cambria"/>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p>
    <w:pPr>
      <w:pStyle w:val="26"/>
    </w:pPr>
    <w:r>
      <w:t>_________________________________________________________________________________________________</w:t>
    </w:r>
  </w:p>
  <w:p>
    <w:pPr>
      <w:pStyle w:val="26"/>
      <w:framePr w:wrap="around" w:vAnchor="text" w:hAnchor="page" w:x="5864" w:y="608"/>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p>
    <w:pPr>
      <w:pStyle w:val="26"/>
      <w:ind w:firstLine="103" w:firstLineChars="49"/>
      <w:rPr>
        <w:rFonts w:ascii="仿宋_GB2312" w:hAnsi="宋体" w:eastAsia="仿宋_GB2312"/>
        <w:b/>
        <w:sz w:val="21"/>
        <w:szCs w:val="21"/>
      </w:rPr>
    </w:pPr>
    <w:r>
      <w:rPr>
        <w:rFonts w:hint="eastAsia" w:ascii="仿宋_GB2312" w:hAnsi="宋体" w:eastAsia="仿宋_GB2312"/>
        <w:b/>
        <w:sz w:val="21"/>
        <w:szCs w:val="21"/>
      </w:rPr>
      <w:t>承德市政府采购中心地址：承德市行政审批局三楼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w:t>
    </w:r>
    <w:r>
      <w:t xml:space="preserve"> 1 -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楷体" w:hAnsi="楷体" w:eastAsia="楷体"/>
        <w:b/>
        <w:spacing w:val="24"/>
        <w:sz w:val="24"/>
        <w:szCs w:val="21"/>
      </w:rPr>
    </w:pPr>
    <w:r>
      <w:rPr>
        <w:rFonts w:hint="eastAsia" w:ascii="楷体" w:hAnsi="楷体" w:eastAsia="楷体"/>
        <w:b/>
        <w:spacing w:val="24"/>
        <w:sz w:val="24"/>
        <w:szCs w:val="21"/>
      </w:rPr>
      <w:t>承德市政府采购竞争性谈判文件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abstractNum w:abstractNumId="1">
    <w:nsid w:val="03324127"/>
    <w:multiLevelType w:val="multilevel"/>
    <w:tmpl w:val="033241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93789"/>
    <w:multiLevelType w:val="singleLevel"/>
    <w:tmpl w:val="12793789"/>
    <w:lvl w:ilvl="0" w:tentative="0">
      <w:start w:val="3"/>
      <w:numFmt w:val="chineseCounting"/>
      <w:suff w:val="space"/>
      <w:lvlText w:val="第%1部分"/>
      <w:lvlJc w:val="left"/>
      <w:pPr>
        <w:ind w:left="2730"/>
      </w:pPr>
      <w:rPr>
        <w:rFonts w:hint="eastAsia"/>
      </w:rPr>
    </w:lvl>
  </w:abstractNum>
  <w:abstractNum w:abstractNumId="3">
    <w:nsid w:val="3614B2F9"/>
    <w:multiLevelType w:val="singleLevel"/>
    <w:tmpl w:val="3614B2F9"/>
    <w:lvl w:ilvl="0" w:tentative="0">
      <w:start w:val="1"/>
      <w:numFmt w:val="decimal"/>
      <w:suff w:val="nothing"/>
      <w:lvlText w:val="%1、"/>
      <w:lvlJc w:val="left"/>
      <w:rPr>
        <w:rFonts w:cs="Times New Roman"/>
        <w:color w:val="auto"/>
      </w:rPr>
    </w:lvl>
  </w:abstractNum>
  <w:abstractNum w:abstractNumId="4">
    <w:nsid w:val="6E6F60E9"/>
    <w:multiLevelType w:val="multilevel"/>
    <w:tmpl w:val="6E6F60E9"/>
    <w:lvl w:ilvl="0" w:tentative="0">
      <w:start w:val="2"/>
      <w:numFmt w:val="decimal"/>
      <w:lvlText w:val="%1、"/>
      <w:lvlJc w:val="left"/>
      <w:pPr>
        <w:tabs>
          <w:tab w:val="left" w:pos="772"/>
        </w:tabs>
        <w:ind w:left="772" w:hanging="360"/>
      </w:pPr>
      <w:rPr>
        <w:rFonts w:hint="default" w:cs="Times New Roman"/>
      </w:rPr>
    </w:lvl>
    <w:lvl w:ilvl="1" w:tentative="0">
      <w:start w:val="1"/>
      <w:numFmt w:val="lowerLetter"/>
      <w:lvlText w:val="%2)"/>
      <w:lvlJc w:val="left"/>
      <w:pPr>
        <w:tabs>
          <w:tab w:val="left" w:pos="1252"/>
        </w:tabs>
        <w:ind w:left="1252" w:hanging="420"/>
      </w:pPr>
      <w:rPr>
        <w:rFonts w:cs="Times New Roman"/>
      </w:rPr>
    </w:lvl>
    <w:lvl w:ilvl="2" w:tentative="0">
      <w:start w:val="1"/>
      <w:numFmt w:val="lowerRoman"/>
      <w:lvlText w:val="%3."/>
      <w:lvlJc w:val="right"/>
      <w:pPr>
        <w:tabs>
          <w:tab w:val="left" w:pos="1672"/>
        </w:tabs>
        <w:ind w:left="1672" w:hanging="420"/>
      </w:pPr>
      <w:rPr>
        <w:rFonts w:cs="Times New Roman"/>
      </w:rPr>
    </w:lvl>
    <w:lvl w:ilvl="3" w:tentative="0">
      <w:start w:val="1"/>
      <w:numFmt w:val="decimal"/>
      <w:lvlText w:val="%4."/>
      <w:lvlJc w:val="left"/>
      <w:pPr>
        <w:tabs>
          <w:tab w:val="left" w:pos="2092"/>
        </w:tabs>
        <w:ind w:left="2092" w:hanging="420"/>
      </w:pPr>
      <w:rPr>
        <w:rFonts w:cs="Times New Roman"/>
      </w:rPr>
    </w:lvl>
    <w:lvl w:ilvl="4" w:tentative="0">
      <w:start w:val="1"/>
      <w:numFmt w:val="lowerLetter"/>
      <w:lvlText w:val="%5)"/>
      <w:lvlJc w:val="left"/>
      <w:pPr>
        <w:tabs>
          <w:tab w:val="left" w:pos="2512"/>
        </w:tabs>
        <w:ind w:left="2512" w:hanging="420"/>
      </w:pPr>
      <w:rPr>
        <w:rFonts w:cs="Times New Roman"/>
      </w:rPr>
    </w:lvl>
    <w:lvl w:ilvl="5" w:tentative="0">
      <w:start w:val="1"/>
      <w:numFmt w:val="lowerRoman"/>
      <w:lvlText w:val="%6."/>
      <w:lvlJc w:val="right"/>
      <w:pPr>
        <w:tabs>
          <w:tab w:val="left" w:pos="2932"/>
        </w:tabs>
        <w:ind w:left="2932" w:hanging="420"/>
      </w:pPr>
      <w:rPr>
        <w:rFonts w:cs="Times New Roman"/>
      </w:rPr>
    </w:lvl>
    <w:lvl w:ilvl="6" w:tentative="0">
      <w:start w:val="1"/>
      <w:numFmt w:val="decimal"/>
      <w:lvlText w:val="%7."/>
      <w:lvlJc w:val="left"/>
      <w:pPr>
        <w:tabs>
          <w:tab w:val="left" w:pos="3352"/>
        </w:tabs>
        <w:ind w:left="3352" w:hanging="420"/>
      </w:pPr>
      <w:rPr>
        <w:rFonts w:cs="Times New Roman"/>
      </w:rPr>
    </w:lvl>
    <w:lvl w:ilvl="7" w:tentative="0">
      <w:start w:val="1"/>
      <w:numFmt w:val="lowerLetter"/>
      <w:lvlText w:val="%8)"/>
      <w:lvlJc w:val="left"/>
      <w:pPr>
        <w:tabs>
          <w:tab w:val="left" w:pos="3772"/>
        </w:tabs>
        <w:ind w:left="3772" w:hanging="420"/>
      </w:pPr>
      <w:rPr>
        <w:rFonts w:cs="Times New Roman"/>
      </w:rPr>
    </w:lvl>
    <w:lvl w:ilvl="8" w:tentative="0">
      <w:start w:val="1"/>
      <w:numFmt w:val="lowerRoman"/>
      <w:lvlText w:val="%9."/>
      <w:lvlJc w:val="right"/>
      <w:pPr>
        <w:tabs>
          <w:tab w:val="left" w:pos="4192"/>
        </w:tabs>
        <w:ind w:left="4192" w:hanging="420"/>
      </w:pPr>
      <w:rPr>
        <w:rFonts w:cs="Times New Roman"/>
      </w:rPr>
    </w:lvl>
  </w:abstractNum>
  <w:abstractNum w:abstractNumId="5">
    <w:nsid w:val="6E6F60FD"/>
    <w:multiLevelType w:val="multilevel"/>
    <w:tmpl w:val="6E6F60FD"/>
    <w:lvl w:ilvl="0" w:tentative="0">
      <w:start w:val="1"/>
      <w:numFmt w:val="decimal"/>
      <w:lvlText w:val="%1."/>
      <w:lvlJc w:val="left"/>
      <w:pPr>
        <w:tabs>
          <w:tab w:val="left" w:pos="1264"/>
        </w:tabs>
        <w:ind w:left="1264"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F4FCA36"/>
    <w:multiLevelType w:val="singleLevel"/>
    <w:tmpl w:val="6F4FCA36"/>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1e5e5714-5a7c-42aa-9ab3-7df922b53cb2"/>
  </w:docVars>
  <w:rsids>
    <w:rsidRoot w:val="00F06775"/>
    <w:rsid w:val="00000343"/>
    <w:rsid w:val="00001F24"/>
    <w:rsid w:val="00003CD7"/>
    <w:rsid w:val="00005350"/>
    <w:rsid w:val="000111DC"/>
    <w:rsid w:val="000117C3"/>
    <w:rsid w:val="00011AFB"/>
    <w:rsid w:val="00011C3B"/>
    <w:rsid w:val="00012EE8"/>
    <w:rsid w:val="00013AD7"/>
    <w:rsid w:val="0001559B"/>
    <w:rsid w:val="00015785"/>
    <w:rsid w:val="00015B8D"/>
    <w:rsid w:val="00015EEC"/>
    <w:rsid w:val="00017666"/>
    <w:rsid w:val="00020750"/>
    <w:rsid w:val="00020D19"/>
    <w:rsid w:val="000230F6"/>
    <w:rsid w:val="00025533"/>
    <w:rsid w:val="00025A96"/>
    <w:rsid w:val="000324EF"/>
    <w:rsid w:val="00033441"/>
    <w:rsid w:val="00040707"/>
    <w:rsid w:val="0004078C"/>
    <w:rsid w:val="00040AC5"/>
    <w:rsid w:val="0004199B"/>
    <w:rsid w:val="00041BA1"/>
    <w:rsid w:val="00042348"/>
    <w:rsid w:val="0004411C"/>
    <w:rsid w:val="00045E90"/>
    <w:rsid w:val="000474AF"/>
    <w:rsid w:val="000513A0"/>
    <w:rsid w:val="00052595"/>
    <w:rsid w:val="00053AD4"/>
    <w:rsid w:val="00055A5F"/>
    <w:rsid w:val="00060D56"/>
    <w:rsid w:val="00061A4C"/>
    <w:rsid w:val="000633A2"/>
    <w:rsid w:val="00064D6F"/>
    <w:rsid w:val="00066934"/>
    <w:rsid w:val="0006723E"/>
    <w:rsid w:val="0006772A"/>
    <w:rsid w:val="0007128A"/>
    <w:rsid w:val="0007168F"/>
    <w:rsid w:val="00072472"/>
    <w:rsid w:val="0007283F"/>
    <w:rsid w:val="000739BE"/>
    <w:rsid w:val="00074FDD"/>
    <w:rsid w:val="000756D2"/>
    <w:rsid w:val="0007620F"/>
    <w:rsid w:val="00076B6C"/>
    <w:rsid w:val="00081F47"/>
    <w:rsid w:val="00083CAA"/>
    <w:rsid w:val="0008502F"/>
    <w:rsid w:val="0008522F"/>
    <w:rsid w:val="00085719"/>
    <w:rsid w:val="00086286"/>
    <w:rsid w:val="00087ACB"/>
    <w:rsid w:val="00092360"/>
    <w:rsid w:val="0009356A"/>
    <w:rsid w:val="00093F85"/>
    <w:rsid w:val="0009411D"/>
    <w:rsid w:val="000973D3"/>
    <w:rsid w:val="000A0EAD"/>
    <w:rsid w:val="000A1C88"/>
    <w:rsid w:val="000A28A3"/>
    <w:rsid w:val="000A57BB"/>
    <w:rsid w:val="000B1737"/>
    <w:rsid w:val="000B179E"/>
    <w:rsid w:val="000B2070"/>
    <w:rsid w:val="000B310D"/>
    <w:rsid w:val="000B3FBB"/>
    <w:rsid w:val="000B5BD4"/>
    <w:rsid w:val="000B61FF"/>
    <w:rsid w:val="000C10B7"/>
    <w:rsid w:val="000C1762"/>
    <w:rsid w:val="000C3287"/>
    <w:rsid w:val="000C35E0"/>
    <w:rsid w:val="000C5CE4"/>
    <w:rsid w:val="000C7113"/>
    <w:rsid w:val="000C7D37"/>
    <w:rsid w:val="000D063D"/>
    <w:rsid w:val="000D0859"/>
    <w:rsid w:val="000D1B33"/>
    <w:rsid w:val="000D3905"/>
    <w:rsid w:val="000D3A05"/>
    <w:rsid w:val="000D7D3A"/>
    <w:rsid w:val="000E0A92"/>
    <w:rsid w:val="000E343D"/>
    <w:rsid w:val="000E4188"/>
    <w:rsid w:val="000E76E5"/>
    <w:rsid w:val="000F0262"/>
    <w:rsid w:val="000F2A33"/>
    <w:rsid w:val="000F736C"/>
    <w:rsid w:val="000F7437"/>
    <w:rsid w:val="0010135F"/>
    <w:rsid w:val="00103C7A"/>
    <w:rsid w:val="001052BE"/>
    <w:rsid w:val="00106F12"/>
    <w:rsid w:val="001077FD"/>
    <w:rsid w:val="001165DA"/>
    <w:rsid w:val="00121732"/>
    <w:rsid w:val="001227AD"/>
    <w:rsid w:val="00122A77"/>
    <w:rsid w:val="00122AC4"/>
    <w:rsid w:val="00122DD5"/>
    <w:rsid w:val="0012368B"/>
    <w:rsid w:val="001242BD"/>
    <w:rsid w:val="00125475"/>
    <w:rsid w:val="00125CF1"/>
    <w:rsid w:val="00126196"/>
    <w:rsid w:val="0012714C"/>
    <w:rsid w:val="00127B36"/>
    <w:rsid w:val="001335A2"/>
    <w:rsid w:val="00133FB7"/>
    <w:rsid w:val="0013497A"/>
    <w:rsid w:val="001446AC"/>
    <w:rsid w:val="00144BC0"/>
    <w:rsid w:val="00145D88"/>
    <w:rsid w:val="00147DB6"/>
    <w:rsid w:val="0015108C"/>
    <w:rsid w:val="00153AE2"/>
    <w:rsid w:val="0016040A"/>
    <w:rsid w:val="0016159D"/>
    <w:rsid w:val="001616AF"/>
    <w:rsid w:val="00161D7E"/>
    <w:rsid w:val="00162300"/>
    <w:rsid w:val="00162DDA"/>
    <w:rsid w:val="00163174"/>
    <w:rsid w:val="001640D0"/>
    <w:rsid w:val="001649A4"/>
    <w:rsid w:val="001657B6"/>
    <w:rsid w:val="00165E79"/>
    <w:rsid w:val="001676F8"/>
    <w:rsid w:val="0017088B"/>
    <w:rsid w:val="00171B0B"/>
    <w:rsid w:val="00172188"/>
    <w:rsid w:val="00177360"/>
    <w:rsid w:val="00181402"/>
    <w:rsid w:val="00181A66"/>
    <w:rsid w:val="00181F25"/>
    <w:rsid w:val="00182641"/>
    <w:rsid w:val="00182D2C"/>
    <w:rsid w:val="00183321"/>
    <w:rsid w:val="001861FD"/>
    <w:rsid w:val="00186AD1"/>
    <w:rsid w:val="00190BEB"/>
    <w:rsid w:val="00191838"/>
    <w:rsid w:val="00193487"/>
    <w:rsid w:val="00193943"/>
    <w:rsid w:val="00195CA4"/>
    <w:rsid w:val="0019687F"/>
    <w:rsid w:val="00196D9F"/>
    <w:rsid w:val="001A068D"/>
    <w:rsid w:val="001A0F0E"/>
    <w:rsid w:val="001A3A96"/>
    <w:rsid w:val="001A470E"/>
    <w:rsid w:val="001A47C3"/>
    <w:rsid w:val="001A4AF3"/>
    <w:rsid w:val="001B017F"/>
    <w:rsid w:val="001B42CD"/>
    <w:rsid w:val="001B4F3C"/>
    <w:rsid w:val="001B50C0"/>
    <w:rsid w:val="001C04FE"/>
    <w:rsid w:val="001C1857"/>
    <w:rsid w:val="001C223F"/>
    <w:rsid w:val="001C3BE4"/>
    <w:rsid w:val="001C415D"/>
    <w:rsid w:val="001C79A8"/>
    <w:rsid w:val="001D0281"/>
    <w:rsid w:val="001D0F62"/>
    <w:rsid w:val="001D22D2"/>
    <w:rsid w:val="001D776F"/>
    <w:rsid w:val="001E2B39"/>
    <w:rsid w:val="001E48C0"/>
    <w:rsid w:val="001E5938"/>
    <w:rsid w:val="001F0622"/>
    <w:rsid w:val="001F09B6"/>
    <w:rsid w:val="001F10EB"/>
    <w:rsid w:val="001F169A"/>
    <w:rsid w:val="001F1CF3"/>
    <w:rsid w:val="001F2687"/>
    <w:rsid w:val="001F2FED"/>
    <w:rsid w:val="001F3277"/>
    <w:rsid w:val="001F42DA"/>
    <w:rsid w:val="001F4480"/>
    <w:rsid w:val="001F605A"/>
    <w:rsid w:val="00201F38"/>
    <w:rsid w:val="00204566"/>
    <w:rsid w:val="00205C1A"/>
    <w:rsid w:val="0020742A"/>
    <w:rsid w:val="0021347C"/>
    <w:rsid w:val="00214DBF"/>
    <w:rsid w:val="002154A8"/>
    <w:rsid w:val="00215984"/>
    <w:rsid w:val="002166DB"/>
    <w:rsid w:val="002166F1"/>
    <w:rsid w:val="002170ED"/>
    <w:rsid w:val="00217F92"/>
    <w:rsid w:val="002227BA"/>
    <w:rsid w:val="00224AC2"/>
    <w:rsid w:val="00225DE7"/>
    <w:rsid w:val="0022612E"/>
    <w:rsid w:val="00227969"/>
    <w:rsid w:val="00227F06"/>
    <w:rsid w:val="00233C7A"/>
    <w:rsid w:val="0023642A"/>
    <w:rsid w:val="00237422"/>
    <w:rsid w:val="002404A7"/>
    <w:rsid w:val="00240636"/>
    <w:rsid w:val="00241222"/>
    <w:rsid w:val="00242C0A"/>
    <w:rsid w:val="00243228"/>
    <w:rsid w:val="00254749"/>
    <w:rsid w:val="00254B44"/>
    <w:rsid w:val="00257CF0"/>
    <w:rsid w:val="002603A2"/>
    <w:rsid w:val="00260423"/>
    <w:rsid w:val="00261EA6"/>
    <w:rsid w:val="002632B5"/>
    <w:rsid w:val="00264A8D"/>
    <w:rsid w:val="002672D3"/>
    <w:rsid w:val="00267FC9"/>
    <w:rsid w:val="0027279C"/>
    <w:rsid w:val="00273C4E"/>
    <w:rsid w:val="002747B7"/>
    <w:rsid w:val="002752E4"/>
    <w:rsid w:val="002757A1"/>
    <w:rsid w:val="00276B59"/>
    <w:rsid w:val="00277C8B"/>
    <w:rsid w:val="002809C6"/>
    <w:rsid w:val="00280ADC"/>
    <w:rsid w:val="002814A0"/>
    <w:rsid w:val="00281C8F"/>
    <w:rsid w:val="002828C6"/>
    <w:rsid w:val="00282AFF"/>
    <w:rsid w:val="00284B4A"/>
    <w:rsid w:val="00284C4C"/>
    <w:rsid w:val="00285399"/>
    <w:rsid w:val="00286E4C"/>
    <w:rsid w:val="00286E95"/>
    <w:rsid w:val="002902CD"/>
    <w:rsid w:val="002914DA"/>
    <w:rsid w:val="002924FC"/>
    <w:rsid w:val="0029293C"/>
    <w:rsid w:val="00292BA0"/>
    <w:rsid w:val="00292DCB"/>
    <w:rsid w:val="002946D5"/>
    <w:rsid w:val="00295035"/>
    <w:rsid w:val="002951D9"/>
    <w:rsid w:val="0029520A"/>
    <w:rsid w:val="00297C2F"/>
    <w:rsid w:val="002A0E80"/>
    <w:rsid w:val="002A1514"/>
    <w:rsid w:val="002A1560"/>
    <w:rsid w:val="002A2EC5"/>
    <w:rsid w:val="002A7018"/>
    <w:rsid w:val="002A7101"/>
    <w:rsid w:val="002A7996"/>
    <w:rsid w:val="002B24CF"/>
    <w:rsid w:val="002B395E"/>
    <w:rsid w:val="002B4805"/>
    <w:rsid w:val="002B5164"/>
    <w:rsid w:val="002C0C9F"/>
    <w:rsid w:val="002C63DB"/>
    <w:rsid w:val="002D29BE"/>
    <w:rsid w:val="002D2D5C"/>
    <w:rsid w:val="002D3CE7"/>
    <w:rsid w:val="002D567B"/>
    <w:rsid w:val="002D5694"/>
    <w:rsid w:val="002D5BC9"/>
    <w:rsid w:val="002D62E6"/>
    <w:rsid w:val="002E1DC0"/>
    <w:rsid w:val="002E35AB"/>
    <w:rsid w:val="002E3A0A"/>
    <w:rsid w:val="002E4DFE"/>
    <w:rsid w:val="002E62FB"/>
    <w:rsid w:val="002E7043"/>
    <w:rsid w:val="002E745F"/>
    <w:rsid w:val="002F0725"/>
    <w:rsid w:val="002F17BA"/>
    <w:rsid w:val="002F27F6"/>
    <w:rsid w:val="002F3221"/>
    <w:rsid w:val="002F37B2"/>
    <w:rsid w:val="002F53C2"/>
    <w:rsid w:val="002F7BFE"/>
    <w:rsid w:val="003005E4"/>
    <w:rsid w:val="003074EB"/>
    <w:rsid w:val="003127D2"/>
    <w:rsid w:val="003132F0"/>
    <w:rsid w:val="00315139"/>
    <w:rsid w:val="0031545D"/>
    <w:rsid w:val="00315E3F"/>
    <w:rsid w:val="003206CD"/>
    <w:rsid w:val="003213AF"/>
    <w:rsid w:val="00321578"/>
    <w:rsid w:val="00324FE8"/>
    <w:rsid w:val="00325C95"/>
    <w:rsid w:val="00327737"/>
    <w:rsid w:val="0032774C"/>
    <w:rsid w:val="00330929"/>
    <w:rsid w:val="00331748"/>
    <w:rsid w:val="00334701"/>
    <w:rsid w:val="00334809"/>
    <w:rsid w:val="00335AB9"/>
    <w:rsid w:val="00340A23"/>
    <w:rsid w:val="003426C4"/>
    <w:rsid w:val="0034486E"/>
    <w:rsid w:val="00344F27"/>
    <w:rsid w:val="0034509F"/>
    <w:rsid w:val="00345286"/>
    <w:rsid w:val="00346C6B"/>
    <w:rsid w:val="0034718D"/>
    <w:rsid w:val="00347490"/>
    <w:rsid w:val="003502F8"/>
    <w:rsid w:val="00350FBA"/>
    <w:rsid w:val="00352F98"/>
    <w:rsid w:val="00355909"/>
    <w:rsid w:val="00361E66"/>
    <w:rsid w:val="003655CB"/>
    <w:rsid w:val="00365657"/>
    <w:rsid w:val="00367CB5"/>
    <w:rsid w:val="0037004C"/>
    <w:rsid w:val="003704AD"/>
    <w:rsid w:val="00370AC6"/>
    <w:rsid w:val="003724CB"/>
    <w:rsid w:val="00376DBF"/>
    <w:rsid w:val="00380912"/>
    <w:rsid w:val="00380BE6"/>
    <w:rsid w:val="003822CF"/>
    <w:rsid w:val="003862F2"/>
    <w:rsid w:val="0038745E"/>
    <w:rsid w:val="00390CC1"/>
    <w:rsid w:val="00392D0B"/>
    <w:rsid w:val="0039443C"/>
    <w:rsid w:val="00396541"/>
    <w:rsid w:val="003A1244"/>
    <w:rsid w:val="003A33AF"/>
    <w:rsid w:val="003A7213"/>
    <w:rsid w:val="003A7C63"/>
    <w:rsid w:val="003B0605"/>
    <w:rsid w:val="003B4E9F"/>
    <w:rsid w:val="003B60B4"/>
    <w:rsid w:val="003B627D"/>
    <w:rsid w:val="003B69B3"/>
    <w:rsid w:val="003B69EF"/>
    <w:rsid w:val="003C0466"/>
    <w:rsid w:val="003C0C5C"/>
    <w:rsid w:val="003C6671"/>
    <w:rsid w:val="003D001F"/>
    <w:rsid w:val="003D0063"/>
    <w:rsid w:val="003D22BF"/>
    <w:rsid w:val="003D6286"/>
    <w:rsid w:val="003D6F1E"/>
    <w:rsid w:val="003D7555"/>
    <w:rsid w:val="003E0048"/>
    <w:rsid w:val="003E02A0"/>
    <w:rsid w:val="003E18A7"/>
    <w:rsid w:val="003E2345"/>
    <w:rsid w:val="003E2C58"/>
    <w:rsid w:val="003E307A"/>
    <w:rsid w:val="003E4034"/>
    <w:rsid w:val="003E5185"/>
    <w:rsid w:val="003E56AF"/>
    <w:rsid w:val="003E5722"/>
    <w:rsid w:val="003E57F9"/>
    <w:rsid w:val="003E58B9"/>
    <w:rsid w:val="003F062D"/>
    <w:rsid w:val="003F131F"/>
    <w:rsid w:val="003F30F5"/>
    <w:rsid w:val="003F3755"/>
    <w:rsid w:val="003F4285"/>
    <w:rsid w:val="003F5355"/>
    <w:rsid w:val="003F6781"/>
    <w:rsid w:val="0040056F"/>
    <w:rsid w:val="00400871"/>
    <w:rsid w:val="00402A20"/>
    <w:rsid w:val="00406354"/>
    <w:rsid w:val="00411DD6"/>
    <w:rsid w:val="004126BE"/>
    <w:rsid w:val="00421469"/>
    <w:rsid w:val="00427638"/>
    <w:rsid w:val="00430E79"/>
    <w:rsid w:val="004317E2"/>
    <w:rsid w:val="00431B47"/>
    <w:rsid w:val="00432E7D"/>
    <w:rsid w:val="00433515"/>
    <w:rsid w:val="00433C79"/>
    <w:rsid w:val="00433D82"/>
    <w:rsid w:val="00434A8B"/>
    <w:rsid w:val="0043580C"/>
    <w:rsid w:val="0043594B"/>
    <w:rsid w:val="0044108E"/>
    <w:rsid w:val="0044179F"/>
    <w:rsid w:val="00443424"/>
    <w:rsid w:val="00443CAD"/>
    <w:rsid w:val="00446248"/>
    <w:rsid w:val="0045423E"/>
    <w:rsid w:val="00455E27"/>
    <w:rsid w:val="00457146"/>
    <w:rsid w:val="00460762"/>
    <w:rsid w:val="004608C5"/>
    <w:rsid w:val="00461B9C"/>
    <w:rsid w:val="00463BDF"/>
    <w:rsid w:val="00463EF1"/>
    <w:rsid w:val="00464698"/>
    <w:rsid w:val="00465A3F"/>
    <w:rsid w:val="00466B9C"/>
    <w:rsid w:val="00467ACF"/>
    <w:rsid w:val="00467EFE"/>
    <w:rsid w:val="0047077C"/>
    <w:rsid w:val="0047179D"/>
    <w:rsid w:val="00471B3D"/>
    <w:rsid w:val="00474A6E"/>
    <w:rsid w:val="00477029"/>
    <w:rsid w:val="00477912"/>
    <w:rsid w:val="00481582"/>
    <w:rsid w:val="00482856"/>
    <w:rsid w:val="004846D2"/>
    <w:rsid w:val="00485EAC"/>
    <w:rsid w:val="00490ACA"/>
    <w:rsid w:val="004927E9"/>
    <w:rsid w:val="0049695C"/>
    <w:rsid w:val="0049700A"/>
    <w:rsid w:val="004A130C"/>
    <w:rsid w:val="004A3894"/>
    <w:rsid w:val="004A434F"/>
    <w:rsid w:val="004A507E"/>
    <w:rsid w:val="004A6F54"/>
    <w:rsid w:val="004B1884"/>
    <w:rsid w:val="004B433D"/>
    <w:rsid w:val="004B5565"/>
    <w:rsid w:val="004B63BD"/>
    <w:rsid w:val="004B724C"/>
    <w:rsid w:val="004B77C8"/>
    <w:rsid w:val="004C0C23"/>
    <w:rsid w:val="004C131C"/>
    <w:rsid w:val="004C1630"/>
    <w:rsid w:val="004C2752"/>
    <w:rsid w:val="004C3057"/>
    <w:rsid w:val="004C328F"/>
    <w:rsid w:val="004C677F"/>
    <w:rsid w:val="004C6845"/>
    <w:rsid w:val="004D160F"/>
    <w:rsid w:val="004D2E19"/>
    <w:rsid w:val="004D5BDD"/>
    <w:rsid w:val="004D6459"/>
    <w:rsid w:val="004D654A"/>
    <w:rsid w:val="004D6E03"/>
    <w:rsid w:val="004D75FA"/>
    <w:rsid w:val="004D7788"/>
    <w:rsid w:val="004E2975"/>
    <w:rsid w:val="004E3CC4"/>
    <w:rsid w:val="004E42DD"/>
    <w:rsid w:val="004E4528"/>
    <w:rsid w:val="004E4CF7"/>
    <w:rsid w:val="004E6349"/>
    <w:rsid w:val="004F0FA3"/>
    <w:rsid w:val="004F4423"/>
    <w:rsid w:val="004F4BBF"/>
    <w:rsid w:val="004F572E"/>
    <w:rsid w:val="004F68C0"/>
    <w:rsid w:val="004F77FC"/>
    <w:rsid w:val="0050125A"/>
    <w:rsid w:val="005050AF"/>
    <w:rsid w:val="00507237"/>
    <w:rsid w:val="005110AF"/>
    <w:rsid w:val="005130DB"/>
    <w:rsid w:val="00513B61"/>
    <w:rsid w:val="00513FB8"/>
    <w:rsid w:val="00514C14"/>
    <w:rsid w:val="00516299"/>
    <w:rsid w:val="00520B65"/>
    <w:rsid w:val="00522D60"/>
    <w:rsid w:val="00522F00"/>
    <w:rsid w:val="005236D4"/>
    <w:rsid w:val="00523B98"/>
    <w:rsid w:val="00525F0E"/>
    <w:rsid w:val="00527A0B"/>
    <w:rsid w:val="00531414"/>
    <w:rsid w:val="005340AF"/>
    <w:rsid w:val="00536EF6"/>
    <w:rsid w:val="0054033A"/>
    <w:rsid w:val="00540811"/>
    <w:rsid w:val="00543964"/>
    <w:rsid w:val="00544640"/>
    <w:rsid w:val="00544D7A"/>
    <w:rsid w:val="00551935"/>
    <w:rsid w:val="00553641"/>
    <w:rsid w:val="00553933"/>
    <w:rsid w:val="0055542F"/>
    <w:rsid w:val="0056207D"/>
    <w:rsid w:val="00566365"/>
    <w:rsid w:val="00566980"/>
    <w:rsid w:val="00567299"/>
    <w:rsid w:val="005673E3"/>
    <w:rsid w:val="005709BD"/>
    <w:rsid w:val="00574816"/>
    <w:rsid w:val="00576D1B"/>
    <w:rsid w:val="0058181B"/>
    <w:rsid w:val="00583196"/>
    <w:rsid w:val="005844E3"/>
    <w:rsid w:val="00585ED7"/>
    <w:rsid w:val="005865B3"/>
    <w:rsid w:val="00593541"/>
    <w:rsid w:val="005972FB"/>
    <w:rsid w:val="005A28A7"/>
    <w:rsid w:val="005A2E79"/>
    <w:rsid w:val="005A34AE"/>
    <w:rsid w:val="005A5BAA"/>
    <w:rsid w:val="005A60DD"/>
    <w:rsid w:val="005A6BD4"/>
    <w:rsid w:val="005A7638"/>
    <w:rsid w:val="005B01BB"/>
    <w:rsid w:val="005B06E7"/>
    <w:rsid w:val="005B10C5"/>
    <w:rsid w:val="005B25FB"/>
    <w:rsid w:val="005B3F5B"/>
    <w:rsid w:val="005B42BA"/>
    <w:rsid w:val="005B7F58"/>
    <w:rsid w:val="005C1132"/>
    <w:rsid w:val="005C15C5"/>
    <w:rsid w:val="005D62B5"/>
    <w:rsid w:val="005E2320"/>
    <w:rsid w:val="005E2CFF"/>
    <w:rsid w:val="005E3485"/>
    <w:rsid w:val="005E38E8"/>
    <w:rsid w:val="005E7EDF"/>
    <w:rsid w:val="005F01D3"/>
    <w:rsid w:val="005F0CD8"/>
    <w:rsid w:val="005F1218"/>
    <w:rsid w:val="005F1838"/>
    <w:rsid w:val="005F20A7"/>
    <w:rsid w:val="005F3D17"/>
    <w:rsid w:val="005F6F74"/>
    <w:rsid w:val="006023D9"/>
    <w:rsid w:val="006046FB"/>
    <w:rsid w:val="00604C1A"/>
    <w:rsid w:val="006052D3"/>
    <w:rsid w:val="006123BD"/>
    <w:rsid w:val="006133A8"/>
    <w:rsid w:val="006165B2"/>
    <w:rsid w:val="00617E29"/>
    <w:rsid w:val="00621B82"/>
    <w:rsid w:val="00622D0A"/>
    <w:rsid w:val="006230D9"/>
    <w:rsid w:val="00623CF9"/>
    <w:rsid w:val="00625C03"/>
    <w:rsid w:val="00626CE7"/>
    <w:rsid w:val="00626F7F"/>
    <w:rsid w:val="006314DA"/>
    <w:rsid w:val="00631FD8"/>
    <w:rsid w:val="006336D0"/>
    <w:rsid w:val="00635E37"/>
    <w:rsid w:val="006360D3"/>
    <w:rsid w:val="006405A8"/>
    <w:rsid w:val="00640B67"/>
    <w:rsid w:val="0064176E"/>
    <w:rsid w:val="00641CFE"/>
    <w:rsid w:val="00641EA0"/>
    <w:rsid w:val="006423BB"/>
    <w:rsid w:val="006429BB"/>
    <w:rsid w:val="00642FD0"/>
    <w:rsid w:val="00643772"/>
    <w:rsid w:val="006454BB"/>
    <w:rsid w:val="00645838"/>
    <w:rsid w:val="00650079"/>
    <w:rsid w:val="0065110E"/>
    <w:rsid w:val="006515BB"/>
    <w:rsid w:val="00651B2F"/>
    <w:rsid w:val="0065375E"/>
    <w:rsid w:val="00656773"/>
    <w:rsid w:val="00656CD0"/>
    <w:rsid w:val="0066019A"/>
    <w:rsid w:val="00660FCB"/>
    <w:rsid w:val="0066170B"/>
    <w:rsid w:val="0066180C"/>
    <w:rsid w:val="00662375"/>
    <w:rsid w:val="00663417"/>
    <w:rsid w:val="00664854"/>
    <w:rsid w:val="006672DA"/>
    <w:rsid w:val="00667478"/>
    <w:rsid w:val="0067093F"/>
    <w:rsid w:val="00670A3E"/>
    <w:rsid w:val="00670C0D"/>
    <w:rsid w:val="00673061"/>
    <w:rsid w:val="00673DC7"/>
    <w:rsid w:val="0067603C"/>
    <w:rsid w:val="0067711D"/>
    <w:rsid w:val="00682C37"/>
    <w:rsid w:val="00683741"/>
    <w:rsid w:val="006841DA"/>
    <w:rsid w:val="006843AB"/>
    <w:rsid w:val="006844FD"/>
    <w:rsid w:val="00684A52"/>
    <w:rsid w:val="00692E16"/>
    <w:rsid w:val="0069482B"/>
    <w:rsid w:val="0069487F"/>
    <w:rsid w:val="00694CC6"/>
    <w:rsid w:val="006A1241"/>
    <w:rsid w:val="006A18C0"/>
    <w:rsid w:val="006A2433"/>
    <w:rsid w:val="006A29A8"/>
    <w:rsid w:val="006A3199"/>
    <w:rsid w:val="006A5236"/>
    <w:rsid w:val="006A5BE6"/>
    <w:rsid w:val="006A685C"/>
    <w:rsid w:val="006B174A"/>
    <w:rsid w:val="006B38B0"/>
    <w:rsid w:val="006B53B7"/>
    <w:rsid w:val="006B7351"/>
    <w:rsid w:val="006C237C"/>
    <w:rsid w:val="006C487C"/>
    <w:rsid w:val="006D02B7"/>
    <w:rsid w:val="006D1640"/>
    <w:rsid w:val="006D2A56"/>
    <w:rsid w:val="006D3FA5"/>
    <w:rsid w:val="006D4B35"/>
    <w:rsid w:val="006E1A41"/>
    <w:rsid w:val="006E544C"/>
    <w:rsid w:val="006E5B70"/>
    <w:rsid w:val="006E5D9E"/>
    <w:rsid w:val="006E6EA5"/>
    <w:rsid w:val="006F12BC"/>
    <w:rsid w:val="006F3130"/>
    <w:rsid w:val="006F3CF5"/>
    <w:rsid w:val="006F4DBA"/>
    <w:rsid w:val="0070204F"/>
    <w:rsid w:val="00702164"/>
    <w:rsid w:val="00703F4F"/>
    <w:rsid w:val="007069EA"/>
    <w:rsid w:val="007079DB"/>
    <w:rsid w:val="0071054F"/>
    <w:rsid w:val="007107EB"/>
    <w:rsid w:val="007111E6"/>
    <w:rsid w:val="00715DDD"/>
    <w:rsid w:val="00717934"/>
    <w:rsid w:val="00722DFB"/>
    <w:rsid w:val="00724D47"/>
    <w:rsid w:val="00727E5F"/>
    <w:rsid w:val="00730E74"/>
    <w:rsid w:val="00732C82"/>
    <w:rsid w:val="007334B2"/>
    <w:rsid w:val="00733D98"/>
    <w:rsid w:val="00734F62"/>
    <w:rsid w:val="00736BF9"/>
    <w:rsid w:val="00737B2D"/>
    <w:rsid w:val="0074046F"/>
    <w:rsid w:val="00741454"/>
    <w:rsid w:val="0074163E"/>
    <w:rsid w:val="0074190D"/>
    <w:rsid w:val="007433A7"/>
    <w:rsid w:val="0074571A"/>
    <w:rsid w:val="00746497"/>
    <w:rsid w:val="00746CBF"/>
    <w:rsid w:val="007473CE"/>
    <w:rsid w:val="00747497"/>
    <w:rsid w:val="00750985"/>
    <w:rsid w:val="0075204D"/>
    <w:rsid w:val="007527DA"/>
    <w:rsid w:val="0075636C"/>
    <w:rsid w:val="00756925"/>
    <w:rsid w:val="00757C64"/>
    <w:rsid w:val="00761316"/>
    <w:rsid w:val="00761518"/>
    <w:rsid w:val="00761D5E"/>
    <w:rsid w:val="00762289"/>
    <w:rsid w:val="007641E4"/>
    <w:rsid w:val="00764C54"/>
    <w:rsid w:val="00765BD5"/>
    <w:rsid w:val="00770645"/>
    <w:rsid w:val="00771865"/>
    <w:rsid w:val="00772058"/>
    <w:rsid w:val="00774E7B"/>
    <w:rsid w:val="0077580C"/>
    <w:rsid w:val="00775D86"/>
    <w:rsid w:val="00776616"/>
    <w:rsid w:val="00777027"/>
    <w:rsid w:val="00777A9F"/>
    <w:rsid w:val="00777E48"/>
    <w:rsid w:val="007802E5"/>
    <w:rsid w:val="0078383E"/>
    <w:rsid w:val="0078555F"/>
    <w:rsid w:val="00785DBC"/>
    <w:rsid w:val="00786794"/>
    <w:rsid w:val="0079016A"/>
    <w:rsid w:val="00791BFA"/>
    <w:rsid w:val="00791C9C"/>
    <w:rsid w:val="00791CA6"/>
    <w:rsid w:val="00792870"/>
    <w:rsid w:val="0079665C"/>
    <w:rsid w:val="007A3173"/>
    <w:rsid w:val="007A3CA9"/>
    <w:rsid w:val="007A4935"/>
    <w:rsid w:val="007A5845"/>
    <w:rsid w:val="007B095B"/>
    <w:rsid w:val="007B1DE6"/>
    <w:rsid w:val="007B2F17"/>
    <w:rsid w:val="007B4010"/>
    <w:rsid w:val="007B4758"/>
    <w:rsid w:val="007B4766"/>
    <w:rsid w:val="007B50B9"/>
    <w:rsid w:val="007B61B1"/>
    <w:rsid w:val="007B7007"/>
    <w:rsid w:val="007B77C3"/>
    <w:rsid w:val="007C49A5"/>
    <w:rsid w:val="007C7A62"/>
    <w:rsid w:val="007D13C0"/>
    <w:rsid w:val="007D22B5"/>
    <w:rsid w:val="007D585F"/>
    <w:rsid w:val="007D7972"/>
    <w:rsid w:val="007E195A"/>
    <w:rsid w:val="007E1EA9"/>
    <w:rsid w:val="007E2CE3"/>
    <w:rsid w:val="007E3014"/>
    <w:rsid w:val="007E479D"/>
    <w:rsid w:val="007E5006"/>
    <w:rsid w:val="007F225A"/>
    <w:rsid w:val="007F28D4"/>
    <w:rsid w:val="007F2AAE"/>
    <w:rsid w:val="007F2E12"/>
    <w:rsid w:val="007F3258"/>
    <w:rsid w:val="0080030D"/>
    <w:rsid w:val="0080586B"/>
    <w:rsid w:val="00807386"/>
    <w:rsid w:val="008105F9"/>
    <w:rsid w:val="00810915"/>
    <w:rsid w:val="00811B50"/>
    <w:rsid w:val="00812F45"/>
    <w:rsid w:val="00813178"/>
    <w:rsid w:val="00813974"/>
    <w:rsid w:val="00813C3A"/>
    <w:rsid w:val="0081406B"/>
    <w:rsid w:val="00814339"/>
    <w:rsid w:val="00817F1F"/>
    <w:rsid w:val="0082018E"/>
    <w:rsid w:val="00820C33"/>
    <w:rsid w:val="008216D5"/>
    <w:rsid w:val="00823E68"/>
    <w:rsid w:val="0083189C"/>
    <w:rsid w:val="008328D3"/>
    <w:rsid w:val="0083490C"/>
    <w:rsid w:val="00835EC4"/>
    <w:rsid w:val="00837AAD"/>
    <w:rsid w:val="00842B0D"/>
    <w:rsid w:val="008440BA"/>
    <w:rsid w:val="0084445A"/>
    <w:rsid w:val="008466C1"/>
    <w:rsid w:val="00850583"/>
    <w:rsid w:val="0085352C"/>
    <w:rsid w:val="00853D9E"/>
    <w:rsid w:val="00853FBD"/>
    <w:rsid w:val="00856350"/>
    <w:rsid w:val="0085648E"/>
    <w:rsid w:val="00861058"/>
    <w:rsid w:val="00864698"/>
    <w:rsid w:val="00864C4C"/>
    <w:rsid w:val="008650E4"/>
    <w:rsid w:val="0086595B"/>
    <w:rsid w:val="00871689"/>
    <w:rsid w:val="00871BD5"/>
    <w:rsid w:val="008722BF"/>
    <w:rsid w:val="00872EDF"/>
    <w:rsid w:val="00873ADC"/>
    <w:rsid w:val="0087522E"/>
    <w:rsid w:val="0087594A"/>
    <w:rsid w:val="00881DA2"/>
    <w:rsid w:val="00883AA9"/>
    <w:rsid w:val="0088410A"/>
    <w:rsid w:val="00884F86"/>
    <w:rsid w:val="00885C3D"/>
    <w:rsid w:val="008864B9"/>
    <w:rsid w:val="0089014E"/>
    <w:rsid w:val="008910C6"/>
    <w:rsid w:val="008931D3"/>
    <w:rsid w:val="00894F8F"/>
    <w:rsid w:val="008979CB"/>
    <w:rsid w:val="00897C42"/>
    <w:rsid w:val="008A1349"/>
    <w:rsid w:val="008A2A31"/>
    <w:rsid w:val="008A349F"/>
    <w:rsid w:val="008A5F59"/>
    <w:rsid w:val="008A67EF"/>
    <w:rsid w:val="008A6F7C"/>
    <w:rsid w:val="008B00B6"/>
    <w:rsid w:val="008B4117"/>
    <w:rsid w:val="008B4D12"/>
    <w:rsid w:val="008B5893"/>
    <w:rsid w:val="008B78B9"/>
    <w:rsid w:val="008C0A68"/>
    <w:rsid w:val="008C24EF"/>
    <w:rsid w:val="008C2A8D"/>
    <w:rsid w:val="008C2F6C"/>
    <w:rsid w:val="008C70CB"/>
    <w:rsid w:val="008D065F"/>
    <w:rsid w:val="008D4178"/>
    <w:rsid w:val="008D42F6"/>
    <w:rsid w:val="008D6D44"/>
    <w:rsid w:val="008D6E06"/>
    <w:rsid w:val="008D7B10"/>
    <w:rsid w:val="008E2DE7"/>
    <w:rsid w:val="008E4CA9"/>
    <w:rsid w:val="008E72E8"/>
    <w:rsid w:val="008E7CCF"/>
    <w:rsid w:val="008F01A7"/>
    <w:rsid w:val="008F07F6"/>
    <w:rsid w:val="008F14B3"/>
    <w:rsid w:val="008F264A"/>
    <w:rsid w:val="008F29ED"/>
    <w:rsid w:val="008F4A0B"/>
    <w:rsid w:val="008F51D4"/>
    <w:rsid w:val="008F5422"/>
    <w:rsid w:val="008F5A81"/>
    <w:rsid w:val="008F7376"/>
    <w:rsid w:val="008F7DFC"/>
    <w:rsid w:val="009004F0"/>
    <w:rsid w:val="00900F44"/>
    <w:rsid w:val="009023DF"/>
    <w:rsid w:val="00903C7B"/>
    <w:rsid w:val="00906162"/>
    <w:rsid w:val="00912429"/>
    <w:rsid w:val="0091304C"/>
    <w:rsid w:val="00914634"/>
    <w:rsid w:val="00922037"/>
    <w:rsid w:val="0092252C"/>
    <w:rsid w:val="00923216"/>
    <w:rsid w:val="0092402A"/>
    <w:rsid w:val="00931D1C"/>
    <w:rsid w:val="009323B1"/>
    <w:rsid w:val="00934525"/>
    <w:rsid w:val="00936D3B"/>
    <w:rsid w:val="0093798F"/>
    <w:rsid w:val="00944A73"/>
    <w:rsid w:val="00947092"/>
    <w:rsid w:val="0095030E"/>
    <w:rsid w:val="00950D28"/>
    <w:rsid w:val="009549AC"/>
    <w:rsid w:val="00954FD6"/>
    <w:rsid w:val="0095526D"/>
    <w:rsid w:val="0095637A"/>
    <w:rsid w:val="00956F96"/>
    <w:rsid w:val="00957A77"/>
    <w:rsid w:val="009600C3"/>
    <w:rsid w:val="00961B71"/>
    <w:rsid w:val="00961C1B"/>
    <w:rsid w:val="00965DD5"/>
    <w:rsid w:val="00966C26"/>
    <w:rsid w:val="00971249"/>
    <w:rsid w:val="00974AE5"/>
    <w:rsid w:val="00980258"/>
    <w:rsid w:val="00980C65"/>
    <w:rsid w:val="00980E96"/>
    <w:rsid w:val="00980FD3"/>
    <w:rsid w:val="00981F9A"/>
    <w:rsid w:val="009824CA"/>
    <w:rsid w:val="00982CD6"/>
    <w:rsid w:val="00984328"/>
    <w:rsid w:val="009866A2"/>
    <w:rsid w:val="009871B3"/>
    <w:rsid w:val="009873F8"/>
    <w:rsid w:val="00993E81"/>
    <w:rsid w:val="00996BB7"/>
    <w:rsid w:val="009A018F"/>
    <w:rsid w:val="009A2902"/>
    <w:rsid w:val="009A2A1B"/>
    <w:rsid w:val="009A3AB6"/>
    <w:rsid w:val="009A411D"/>
    <w:rsid w:val="009A439C"/>
    <w:rsid w:val="009A4795"/>
    <w:rsid w:val="009A4AC3"/>
    <w:rsid w:val="009A5BB7"/>
    <w:rsid w:val="009A5E2B"/>
    <w:rsid w:val="009A6633"/>
    <w:rsid w:val="009A7C61"/>
    <w:rsid w:val="009B105F"/>
    <w:rsid w:val="009B3A21"/>
    <w:rsid w:val="009B3DDE"/>
    <w:rsid w:val="009B529E"/>
    <w:rsid w:val="009B6E82"/>
    <w:rsid w:val="009C4E40"/>
    <w:rsid w:val="009C6D25"/>
    <w:rsid w:val="009C6DE6"/>
    <w:rsid w:val="009C7834"/>
    <w:rsid w:val="009D33FB"/>
    <w:rsid w:val="009D4872"/>
    <w:rsid w:val="009D5A14"/>
    <w:rsid w:val="009D6202"/>
    <w:rsid w:val="009D6341"/>
    <w:rsid w:val="009D648C"/>
    <w:rsid w:val="009D6492"/>
    <w:rsid w:val="009D6C4C"/>
    <w:rsid w:val="009E141A"/>
    <w:rsid w:val="009E6849"/>
    <w:rsid w:val="009E687A"/>
    <w:rsid w:val="009E6B89"/>
    <w:rsid w:val="009E7634"/>
    <w:rsid w:val="009E7997"/>
    <w:rsid w:val="009E7DE9"/>
    <w:rsid w:val="009F0206"/>
    <w:rsid w:val="009F15F4"/>
    <w:rsid w:val="009F754F"/>
    <w:rsid w:val="00A0122F"/>
    <w:rsid w:val="00A0669B"/>
    <w:rsid w:val="00A06800"/>
    <w:rsid w:val="00A10EEF"/>
    <w:rsid w:val="00A111C4"/>
    <w:rsid w:val="00A112B9"/>
    <w:rsid w:val="00A12C34"/>
    <w:rsid w:val="00A13755"/>
    <w:rsid w:val="00A13BFC"/>
    <w:rsid w:val="00A16856"/>
    <w:rsid w:val="00A172DA"/>
    <w:rsid w:val="00A2071C"/>
    <w:rsid w:val="00A23D85"/>
    <w:rsid w:val="00A24CF3"/>
    <w:rsid w:val="00A26B0E"/>
    <w:rsid w:val="00A26C20"/>
    <w:rsid w:val="00A27190"/>
    <w:rsid w:val="00A30531"/>
    <w:rsid w:val="00A30BC1"/>
    <w:rsid w:val="00A32565"/>
    <w:rsid w:val="00A33C96"/>
    <w:rsid w:val="00A341C8"/>
    <w:rsid w:val="00A3719E"/>
    <w:rsid w:val="00A372DA"/>
    <w:rsid w:val="00A43657"/>
    <w:rsid w:val="00A46380"/>
    <w:rsid w:val="00A476EF"/>
    <w:rsid w:val="00A52D77"/>
    <w:rsid w:val="00A56524"/>
    <w:rsid w:val="00A57819"/>
    <w:rsid w:val="00A62380"/>
    <w:rsid w:val="00A62A45"/>
    <w:rsid w:val="00A70650"/>
    <w:rsid w:val="00A73850"/>
    <w:rsid w:val="00A75B42"/>
    <w:rsid w:val="00A763E0"/>
    <w:rsid w:val="00A82893"/>
    <w:rsid w:val="00A84275"/>
    <w:rsid w:val="00A853D9"/>
    <w:rsid w:val="00A908AD"/>
    <w:rsid w:val="00A90946"/>
    <w:rsid w:val="00A9217D"/>
    <w:rsid w:val="00A924B5"/>
    <w:rsid w:val="00A93743"/>
    <w:rsid w:val="00A94220"/>
    <w:rsid w:val="00A9485F"/>
    <w:rsid w:val="00A9489A"/>
    <w:rsid w:val="00A9621D"/>
    <w:rsid w:val="00A96AB4"/>
    <w:rsid w:val="00AA2BBC"/>
    <w:rsid w:val="00AA4BFD"/>
    <w:rsid w:val="00AA6C7E"/>
    <w:rsid w:val="00AA6C80"/>
    <w:rsid w:val="00AA7B23"/>
    <w:rsid w:val="00AB196D"/>
    <w:rsid w:val="00AB2C56"/>
    <w:rsid w:val="00AB5372"/>
    <w:rsid w:val="00AC06A7"/>
    <w:rsid w:val="00AC113F"/>
    <w:rsid w:val="00AC1218"/>
    <w:rsid w:val="00AC1B7D"/>
    <w:rsid w:val="00AC30E9"/>
    <w:rsid w:val="00AC3B65"/>
    <w:rsid w:val="00AD270E"/>
    <w:rsid w:val="00AD294C"/>
    <w:rsid w:val="00AD4D30"/>
    <w:rsid w:val="00AD60ED"/>
    <w:rsid w:val="00AD7621"/>
    <w:rsid w:val="00AE57DD"/>
    <w:rsid w:val="00AF2ACA"/>
    <w:rsid w:val="00AF3CD6"/>
    <w:rsid w:val="00AF5A7B"/>
    <w:rsid w:val="00B01CD4"/>
    <w:rsid w:val="00B0245C"/>
    <w:rsid w:val="00B025F7"/>
    <w:rsid w:val="00B03B2F"/>
    <w:rsid w:val="00B05949"/>
    <w:rsid w:val="00B10050"/>
    <w:rsid w:val="00B10101"/>
    <w:rsid w:val="00B10480"/>
    <w:rsid w:val="00B1132E"/>
    <w:rsid w:val="00B1142B"/>
    <w:rsid w:val="00B125FF"/>
    <w:rsid w:val="00B1339F"/>
    <w:rsid w:val="00B201B9"/>
    <w:rsid w:val="00B24963"/>
    <w:rsid w:val="00B251F4"/>
    <w:rsid w:val="00B260CC"/>
    <w:rsid w:val="00B2700A"/>
    <w:rsid w:val="00B27060"/>
    <w:rsid w:val="00B310AC"/>
    <w:rsid w:val="00B3179C"/>
    <w:rsid w:val="00B34AF2"/>
    <w:rsid w:val="00B4168E"/>
    <w:rsid w:val="00B4239D"/>
    <w:rsid w:val="00B43705"/>
    <w:rsid w:val="00B44E7D"/>
    <w:rsid w:val="00B44F36"/>
    <w:rsid w:val="00B45841"/>
    <w:rsid w:val="00B45F7E"/>
    <w:rsid w:val="00B478DC"/>
    <w:rsid w:val="00B52614"/>
    <w:rsid w:val="00B5344D"/>
    <w:rsid w:val="00B53AB9"/>
    <w:rsid w:val="00B5496F"/>
    <w:rsid w:val="00B5539E"/>
    <w:rsid w:val="00B6011F"/>
    <w:rsid w:val="00B63F88"/>
    <w:rsid w:val="00B64713"/>
    <w:rsid w:val="00B64748"/>
    <w:rsid w:val="00B659FC"/>
    <w:rsid w:val="00B66118"/>
    <w:rsid w:val="00B66E18"/>
    <w:rsid w:val="00B72013"/>
    <w:rsid w:val="00B720CA"/>
    <w:rsid w:val="00B739B1"/>
    <w:rsid w:val="00B74FE4"/>
    <w:rsid w:val="00B766D8"/>
    <w:rsid w:val="00B7695B"/>
    <w:rsid w:val="00B77787"/>
    <w:rsid w:val="00B80DC2"/>
    <w:rsid w:val="00B80E50"/>
    <w:rsid w:val="00B8173A"/>
    <w:rsid w:val="00B81753"/>
    <w:rsid w:val="00B820AE"/>
    <w:rsid w:val="00B83E40"/>
    <w:rsid w:val="00B87969"/>
    <w:rsid w:val="00B87B7A"/>
    <w:rsid w:val="00B90A1C"/>
    <w:rsid w:val="00B927E9"/>
    <w:rsid w:val="00B93789"/>
    <w:rsid w:val="00B958AB"/>
    <w:rsid w:val="00B96948"/>
    <w:rsid w:val="00B96F9A"/>
    <w:rsid w:val="00BA12F1"/>
    <w:rsid w:val="00BA175E"/>
    <w:rsid w:val="00BA1F18"/>
    <w:rsid w:val="00BA3232"/>
    <w:rsid w:val="00BA3DDE"/>
    <w:rsid w:val="00BA3FD7"/>
    <w:rsid w:val="00BA4630"/>
    <w:rsid w:val="00BA5BD5"/>
    <w:rsid w:val="00BB2A5F"/>
    <w:rsid w:val="00BB5979"/>
    <w:rsid w:val="00BB6D0C"/>
    <w:rsid w:val="00BB6ED6"/>
    <w:rsid w:val="00BC16F9"/>
    <w:rsid w:val="00BC34D4"/>
    <w:rsid w:val="00BC6772"/>
    <w:rsid w:val="00BC6A71"/>
    <w:rsid w:val="00BC72FA"/>
    <w:rsid w:val="00BC78B5"/>
    <w:rsid w:val="00BD13BE"/>
    <w:rsid w:val="00BD1EDC"/>
    <w:rsid w:val="00BD2D82"/>
    <w:rsid w:val="00BD55D4"/>
    <w:rsid w:val="00BD6D94"/>
    <w:rsid w:val="00BE48EC"/>
    <w:rsid w:val="00BE6D5D"/>
    <w:rsid w:val="00BF026D"/>
    <w:rsid w:val="00BF120A"/>
    <w:rsid w:val="00BF1711"/>
    <w:rsid w:val="00BF1C57"/>
    <w:rsid w:val="00BF3BBB"/>
    <w:rsid w:val="00BF5106"/>
    <w:rsid w:val="00C01CBF"/>
    <w:rsid w:val="00C03F12"/>
    <w:rsid w:val="00C04759"/>
    <w:rsid w:val="00C0484D"/>
    <w:rsid w:val="00C051F6"/>
    <w:rsid w:val="00C05F10"/>
    <w:rsid w:val="00C06B4D"/>
    <w:rsid w:val="00C10980"/>
    <w:rsid w:val="00C11E13"/>
    <w:rsid w:val="00C123FD"/>
    <w:rsid w:val="00C13948"/>
    <w:rsid w:val="00C16A8F"/>
    <w:rsid w:val="00C21ED8"/>
    <w:rsid w:val="00C22631"/>
    <w:rsid w:val="00C24819"/>
    <w:rsid w:val="00C253BD"/>
    <w:rsid w:val="00C26B7C"/>
    <w:rsid w:val="00C27D98"/>
    <w:rsid w:val="00C30800"/>
    <w:rsid w:val="00C3199C"/>
    <w:rsid w:val="00C325B7"/>
    <w:rsid w:val="00C32642"/>
    <w:rsid w:val="00C33FE5"/>
    <w:rsid w:val="00C34B34"/>
    <w:rsid w:val="00C350B9"/>
    <w:rsid w:val="00C35566"/>
    <w:rsid w:val="00C36AAE"/>
    <w:rsid w:val="00C37BE0"/>
    <w:rsid w:val="00C37F7B"/>
    <w:rsid w:val="00C43312"/>
    <w:rsid w:val="00C46661"/>
    <w:rsid w:val="00C46C89"/>
    <w:rsid w:val="00C545CC"/>
    <w:rsid w:val="00C56897"/>
    <w:rsid w:val="00C5795F"/>
    <w:rsid w:val="00C609F1"/>
    <w:rsid w:val="00C62AB1"/>
    <w:rsid w:val="00C67582"/>
    <w:rsid w:val="00C679D4"/>
    <w:rsid w:val="00C70D4A"/>
    <w:rsid w:val="00C71331"/>
    <w:rsid w:val="00C71D56"/>
    <w:rsid w:val="00C72012"/>
    <w:rsid w:val="00C73092"/>
    <w:rsid w:val="00C7319F"/>
    <w:rsid w:val="00C73D21"/>
    <w:rsid w:val="00C74128"/>
    <w:rsid w:val="00C746C8"/>
    <w:rsid w:val="00C747D1"/>
    <w:rsid w:val="00C77F6C"/>
    <w:rsid w:val="00C83555"/>
    <w:rsid w:val="00C83DC1"/>
    <w:rsid w:val="00C87232"/>
    <w:rsid w:val="00C8776A"/>
    <w:rsid w:val="00C91883"/>
    <w:rsid w:val="00C93D5F"/>
    <w:rsid w:val="00C949FA"/>
    <w:rsid w:val="00C96800"/>
    <w:rsid w:val="00C97CCD"/>
    <w:rsid w:val="00CA00B2"/>
    <w:rsid w:val="00CA10A1"/>
    <w:rsid w:val="00CA498A"/>
    <w:rsid w:val="00CB2CA7"/>
    <w:rsid w:val="00CB43BA"/>
    <w:rsid w:val="00CB55F3"/>
    <w:rsid w:val="00CC110E"/>
    <w:rsid w:val="00CC1A26"/>
    <w:rsid w:val="00CC257D"/>
    <w:rsid w:val="00CC58F6"/>
    <w:rsid w:val="00CC742C"/>
    <w:rsid w:val="00CD0616"/>
    <w:rsid w:val="00CD0BCF"/>
    <w:rsid w:val="00CD319F"/>
    <w:rsid w:val="00CD462E"/>
    <w:rsid w:val="00CD5844"/>
    <w:rsid w:val="00CD610D"/>
    <w:rsid w:val="00CD6314"/>
    <w:rsid w:val="00CE19DC"/>
    <w:rsid w:val="00CE2CE4"/>
    <w:rsid w:val="00CE7E7C"/>
    <w:rsid w:val="00CF0130"/>
    <w:rsid w:val="00CF2977"/>
    <w:rsid w:val="00CF3F1D"/>
    <w:rsid w:val="00CF44DE"/>
    <w:rsid w:val="00CF6A3E"/>
    <w:rsid w:val="00CF72F2"/>
    <w:rsid w:val="00D00A6E"/>
    <w:rsid w:val="00D018D6"/>
    <w:rsid w:val="00D02379"/>
    <w:rsid w:val="00D02EAC"/>
    <w:rsid w:val="00D04244"/>
    <w:rsid w:val="00D05B99"/>
    <w:rsid w:val="00D05CC7"/>
    <w:rsid w:val="00D06BF0"/>
    <w:rsid w:val="00D07159"/>
    <w:rsid w:val="00D120A0"/>
    <w:rsid w:val="00D1385C"/>
    <w:rsid w:val="00D16BAF"/>
    <w:rsid w:val="00D1710D"/>
    <w:rsid w:val="00D214B5"/>
    <w:rsid w:val="00D21A4F"/>
    <w:rsid w:val="00D21DC9"/>
    <w:rsid w:val="00D24277"/>
    <w:rsid w:val="00D26C43"/>
    <w:rsid w:val="00D30F51"/>
    <w:rsid w:val="00D31A5E"/>
    <w:rsid w:val="00D33559"/>
    <w:rsid w:val="00D343A7"/>
    <w:rsid w:val="00D3674C"/>
    <w:rsid w:val="00D375B9"/>
    <w:rsid w:val="00D46D3F"/>
    <w:rsid w:val="00D47B52"/>
    <w:rsid w:val="00D5011B"/>
    <w:rsid w:val="00D51B4A"/>
    <w:rsid w:val="00D5247B"/>
    <w:rsid w:val="00D55559"/>
    <w:rsid w:val="00D55942"/>
    <w:rsid w:val="00D57999"/>
    <w:rsid w:val="00D600DD"/>
    <w:rsid w:val="00D60103"/>
    <w:rsid w:val="00D61DFF"/>
    <w:rsid w:val="00D62F5D"/>
    <w:rsid w:val="00D634EC"/>
    <w:rsid w:val="00D661FF"/>
    <w:rsid w:val="00D66BBB"/>
    <w:rsid w:val="00D66E73"/>
    <w:rsid w:val="00D71759"/>
    <w:rsid w:val="00D728AB"/>
    <w:rsid w:val="00D73839"/>
    <w:rsid w:val="00D73BD6"/>
    <w:rsid w:val="00D7572B"/>
    <w:rsid w:val="00D75CF3"/>
    <w:rsid w:val="00D75D06"/>
    <w:rsid w:val="00D821E6"/>
    <w:rsid w:val="00D83608"/>
    <w:rsid w:val="00D84E30"/>
    <w:rsid w:val="00D85D43"/>
    <w:rsid w:val="00D879B2"/>
    <w:rsid w:val="00D90B25"/>
    <w:rsid w:val="00D965F9"/>
    <w:rsid w:val="00DA3AC8"/>
    <w:rsid w:val="00DB17FC"/>
    <w:rsid w:val="00DB2DF6"/>
    <w:rsid w:val="00DB3093"/>
    <w:rsid w:val="00DB371B"/>
    <w:rsid w:val="00DB3A7D"/>
    <w:rsid w:val="00DB4697"/>
    <w:rsid w:val="00DC6858"/>
    <w:rsid w:val="00DD026C"/>
    <w:rsid w:val="00DD08F7"/>
    <w:rsid w:val="00DD14D0"/>
    <w:rsid w:val="00DD1DA4"/>
    <w:rsid w:val="00DD6BEC"/>
    <w:rsid w:val="00DE0936"/>
    <w:rsid w:val="00DE113C"/>
    <w:rsid w:val="00DE12EB"/>
    <w:rsid w:val="00DE3D63"/>
    <w:rsid w:val="00DE459E"/>
    <w:rsid w:val="00DE49A3"/>
    <w:rsid w:val="00DE6097"/>
    <w:rsid w:val="00DF0906"/>
    <w:rsid w:val="00DF13F2"/>
    <w:rsid w:val="00DF3FAD"/>
    <w:rsid w:val="00DF4B14"/>
    <w:rsid w:val="00DF5E99"/>
    <w:rsid w:val="00DF6A6A"/>
    <w:rsid w:val="00DF7AE4"/>
    <w:rsid w:val="00E00795"/>
    <w:rsid w:val="00E00892"/>
    <w:rsid w:val="00E00A63"/>
    <w:rsid w:val="00E02416"/>
    <w:rsid w:val="00E02543"/>
    <w:rsid w:val="00E02FBC"/>
    <w:rsid w:val="00E0314B"/>
    <w:rsid w:val="00E034CA"/>
    <w:rsid w:val="00E043E1"/>
    <w:rsid w:val="00E10FBC"/>
    <w:rsid w:val="00E1129D"/>
    <w:rsid w:val="00E11603"/>
    <w:rsid w:val="00E221A9"/>
    <w:rsid w:val="00E25738"/>
    <w:rsid w:val="00E31A1A"/>
    <w:rsid w:val="00E33BB5"/>
    <w:rsid w:val="00E34AD5"/>
    <w:rsid w:val="00E36BF9"/>
    <w:rsid w:val="00E37594"/>
    <w:rsid w:val="00E440C0"/>
    <w:rsid w:val="00E4687A"/>
    <w:rsid w:val="00E46F92"/>
    <w:rsid w:val="00E4766D"/>
    <w:rsid w:val="00E47D00"/>
    <w:rsid w:val="00E52A6A"/>
    <w:rsid w:val="00E54EB6"/>
    <w:rsid w:val="00E54F62"/>
    <w:rsid w:val="00E55034"/>
    <w:rsid w:val="00E55D56"/>
    <w:rsid w:val="00E56A52"/>
    <w:rsid w:val="00E6270F"/>
    <w:rsid w:val="00E63332"/>
    <w:rsid w:val="00E644F4"/>
    <w:rsid w:val="00E64512"/>
    <w:rsid w:val="00E64984"/>
    <w:rsid w:val="00E65250"/>
    <w:rsid w:val="00E652D0"/>
    <w:rsid w:val="00E67E24"/>
    <w:rsid w:val="00E707D3"/>
    <w:rsid w:val="00E71538"/>
    <w:rsid w:val="00E7223B"/>
    <w:rsid w:val="00E72809"/>
    <w:rsid w:val="00E73116"/>
    <w:rsid w:val="00E76711"/>
    <w:rsid w:val="00E80E3B"/>
    <w:rsid w:val="00E81975"/>
    <w:rsid w:val="00E82E35"/>
    <w:rsid w:val="00E8410C"/>
    <w:rsid w:val="00E849AE"/>
    <w:rsid w:val="00E86E56"/>
    <w:rsid w:val="00E90361"/>
    <w:rsid w:val="00E92702"/>
    <w:rsid w:val="00E94672"/>
    <w:rsid w:val="00E96859"/>
    <w:rsid w:val="00E96CC6"/>
    <w:rsid w:val="00EA47D1"/>
    <w:rsid w:val="00EA741F"/>
    <w:rsid w:val="00EB529C"/>
    <w:rsid w:val="00EC1568"/>
    <w:rsid w:val="00EC3E86"/>
    <w:rsid w:val="00EC483C"/>
    <w:rsid w:val="00EC79CC"/>
    <w:rsid w:val="00ED1DA6"/>
    <w:rsid w:val="00ED2281"/>
    <w:rsid w:val="00ED41A4"/>
    <w:rsid w:val="00ED47AA"/>
    <w:rsid w:val="00ED65BA"/>
    <w:rsid w:val="00ED74EF"/>
    <w:rsid w:val="00EE24CA"/>
    <w:rsid w:val="00EE26BB"/>
    <w:rsid w:val="00EE29F9"/>
    <w:rsid w:val="00EE41D7"/>
    <w:rsid w:val="00EE5055"/>
    <w:rsid w:val="00EF19DD"/>
    <w:rsid w:val="00EF23EB"/>
    <w:rsid w:val="00EF3877"/>
    <w:rsid w:val="00EF38F7"/>
    <w:rsid w:val="00EF5773"/>
    <w:rsid w:val="00EF5E67"/>
    <w:rsid w:val="00EF7BF6"/>
    <w:rsid w:val="00F01203"/>
    <w:rsid w:val="00F01257"/>
    <w:rsid w:val="00F02CAA"/>
    <w:rsid w:val="00F05C8E"/>
    <w:rsid w:val="00F06775"/>
    <w:rsid w:val="00F07B4A"/>
    <w:rsid w:val="00F10A70"/>
    <w:rsid w:val="00F11635"/>
    <w:rsid w:val="00F15CF8"/>
    <w:rsid w:val="00F202B7"/>
    <w:rsid w:val="00F21340"/>
    <w:rsid w:val="00F22406"/>
    <w:rsid w:val="00F24E44"/>
    <w:rsid w:val="00F2520F"/>
    <w:rsid w:val="00F2534F"/>
    <w:rsid w:val="00F25950"/>
    <w:rsid w:val="00F25C05"/>
    <w:rsid w:val="00F262AC"/>
    <w:rsid w:val="00F26A6E"/>
    <w:rsid w:val="00F27313"/>
    <w:rsid w:val="00F27C2E"/>
    <w:rsid w:val="00F30E53"/>
    <w:rsid w:val="00F329E7"/>
    <w:rsid w:val="00F3580D"/>
    <w:rsid w:val="00F365E8"/>
    <w:rsid w:val="00F37D87"/>
    <w:rsid w:val="00F409A3"/>
    <w:rsid w:val="00F41153"/>
    <w:rsid w:val="00F43BAB"/>
    <w:rsid w:val="00F43F72"/>
    <w:rsid w:val="00F47925"/>
    <w:rsid w:val="00F47D90"/>
    <w:rsid w:val="00F503C8"/>
    <w:rsid w:val="00F515ED"/>
    <w:rsid w:val="00F527E7"/>
    <w:rsid w:val="00F60484"/>
    <w:rsid w:val="00F60E66"/>
    <w:rsid w:val="00F62CA2"/>
    <w:rsid w:val="00F635C5"/>
    <w:rsid w:val="00F63950"/>
    <w:rsid w:val="00F64B3F"/>
    <w:rsid w:val="00F73152"/>
    <w:rsid w:val="00F74E21"/>
    <w:rsid w:val="00F7547C"/>
    <w:rsid w:val="00F76699"/>
    <w:rsid w:val="00F77076"/>
    <w:rsid w:val="00F77AE9"/>
    <w:rsid w:val="00F818BC"/>
    <w:rsid w:val="00F83BD2"/>
    <w:rsid w:val="00F847F1"/>
    <w:rsid w:val="00F87486"/>
    <w:rsid w:val="00F903C6"/>
    <w:rsid w:val="00F9111D"/>
    <w:rsid w:val="00F91A54"/>
    <w:rsid w:val="00F952B1"/>
    <w:rsid w:val="00F95855"/>
    <w:rsid w:val="00F9682A"/>
    <w:rsid w:val="00F97156"/>
    <w:rsid w:val="00F974F8"/>
    <w:rsid w:val="00FA030F"/>
    <w:rsid w:val="00FA135F"/>
    <w:rsid w:val="00FA6A59"/>
    <w:rsid w:val="00FA7732"/>
    <w:rsid w:val="00FA7A84"/>
    <w:rsid w:val="00FB2E2E"/>
    <w:rsid w:val="00FB46C3"/>
    <w:rsid w:val="00FB5F89"/>
    <w:rsid w:val="00FB62C0"/>
    <w:rsid w:val="00FB73F3"/>
    <w:rsid w:val="00FC00F6"/>
    <w:rsid w:val="00FC1632"/>
    <w:rsid w:val="00FC18E6"/>
    <w:rsid w:val="00FC72E5"/>
    <w:rsid w:val="00FD0102"/>
    <w:rsid w:val="00FD03C3"/>
    <w:rsid w:val="00FD0D60"/>
    <w:rsid w:val="00FD0E64"/>
    <w:rsid w:val="00FD16E0"/>
    <w:rsid w:val="00FD194E"/>
    <w:rsid w:val="00FD2DF3"/>
    <w:rsid w:val="00FD32C4"/>
    <w:rsid w:val="00FD61FA"/>
    <w:rsid w:val="00FD627C"/>
    <w:rsid w:val="00FD6EE3"/>
    <w:rsid w:val="00FD7585"/>
    <w:rsid w:val="00FE1DD6"/>
    <w:rsid w:val="00FE1FD1"/>
    <w:rsid w:val="00FE2C28"/>
    <w:rsid w:val="00FE318E"/>
    <w:rsid w:val="00FE4395"/>
    <w:rsid w:val="00FE498A"/>
    <w:rsid w:val="00FE5E42"/>
    <w:rsid w:val="00FF130E"/>
    <w:rsid w:val="00FF2B97"/>
    <w:rsid w:val="00FF34EC"/>
    <w:rsid w:val="00FF6CB9"/>
    <w:rsid w:val="00FF6DBA"/>
    <w:rsid w:val="0163063E"/>
    <w:rsid w:val="027B0AB6"/>
    <w:rsid w:val="02B01EB4"/>
    <w:rsid w:val="02E85ED7"/>
    <w:rsid w:val="03725811"/>
    <w:rsid w:val="03BA7325"/>
    <w:rsid w:val="0416195F"/>
    <w:rsid w:val="049328CA"/>
    <w:rsid w:val="04A9662B"/>
    <w:rsid w:val="057024D6"/>
    <w:rsid w:val="05B93444"/>
    <w:rsid w:val="061842AC"/>
    <w:rsid w:val="06220CF2"/>
    <w:rsid w:val="06281C10"/>
    <w:rsid w:val="06B1423F"/>
    <w:rsid w:val="06BB031C"/>
    <w:rsid w:val="082B193A"/>
    <w:rsid w:val="08C257C8"/>
    <w:rsid w:val="08D825BC"/>
    <w:rsid w:val="08FD2465"/>
    <w:rsid w:val="09726A00"/>
    <w:rsid w:val="098A4D5E"/>
    <w:rsid w:val="0A2B0183"/>
    <w:rsid w:val="0A6D76AE"/>
    <w:rsid w:val="0A7E3E79"/>
    <w:rsid w:val="0AEE29EC"/>
    <w:rsid w:val="0C193891"/>
    <w:rsid w:val="0C6A6B2D"/>
    <w:rsid w:val="0CDC6F33"/>
    <w:rsid w:val="0DCE4CF4"/>
    <w:rsid w:val="0EA3492F"/>
    <w:rsid w:val="0F656A54"/>
    <w:rsid w:val="0F6F1AC9"/>
    <w:rsid w:val="103C00F0"/>
    <w:rsid w:val="10E40F3C"/>
    <w:rsid w:val="11B426C7"/>
    <w:rsid w:val="124B3546"/>
    <w:rsid w:val="12907D93"/>
    <w:rsid w:val="13BC5371"/>
    <w:rsid w:val="1461523A"/>
    <w:rsid w:val="14806746"/>
    <w:rsid w:val="14B10529"/>
    <w:rsid w:val="156A0C1A"/>
    <w:rsid w:val="157D4124"/>
    <w:rsid w:val="15F87D04"/>
    <w:rsid w:val="161305F8"/>
    <w:rsid w:val="17AE38DA"/>
    <w:rsid w:val="17B3482E"/>
    <w:rsid w:val="17DE2734"/>
    <w:rsid w:val="17FA6D70"/>
    <w:rsid w:val="18221F64"/>
    <w:rsid w:val="18AA2E83"/>
    <w:rsid w:val="18F14C74"/>
    <w:rsid w:val="19573C82"/>
    <w:rsid w:val="19A979DD"/>
    <w:rsid w:val="19C921D3"/>
    <w:rsid w:val="1A157577"/>
    <w:rsid w:val="1BC45203"/>
    <w:rsid w:val="1C6124B6"/>
    <w:rsid w:val="1C797CA3"/>
    <w:rsid w:val="1CB44E3A"/>
    <w:rsid w:val="1CC161FE"/>
    <w:rsid w:val="1EAD2F0C"/>
    <w:rsid w:val="1EDA43FC"/>
    <w:rsid w:val="1F4020A6"/>
    <w:rsid w:val="1F693425"/>
    <w:rsid w:val="1F997B2E"/>
    <w:rsid w:val="1FD95AAE"/>
    <w:rsid w:val="200C49E0"/>
    <w:rsid w:val="207F3DD1"/>
    <w:rsid w:val="21217D6D"/>
    <w:rsid w:val="21531A3A"/>
    <w:rsid w:val="21F6047D"/>
    <w:rsid w:val="221F23DD"/>
    <w:rsid w:val="223911A0"/>
    <w:rsid w:val="22E056D3"/>
    <w:rsid w:val="232134BB"/>
    <w:rsid w:val="2387132E"/>
    <w:rsid w:val="240C3CD4"/>
    <w:rsid w:val="24422781"/>
    <w:rsid w:val="24C73CB2"/>
    <w:rsid w:val="25692BF0"/>
    <w:rsid w:val="265C380B"/>
    <w:rsid w:val="26F20C51"/>
    <w:rsid w:val="2748462A"/>
    <w:rsid w:val="274D38D6"/>
    <w:rsid w:val="27904BE3"/>
    <w:rsid w:val="28030369"/>
    <w:rsid w:val="28034E4A"/>
    <w:rsid w:val="29F2484D"/>
    <w:rsid w:val="2A6C1945"/>
    <w:rsid w:val="2AA67D9C"/>
    <w:rsid w:val="2B631833"/>
    <w:rsid w:val="2B7F55F8"/>
    <w:rsid w:val="2C063A62"/>
    <w:rsid w:val="2C0D614F"/>
    <w:rsid w:val="2D3F177D"/>
    <w:rsid w:val="2D847234"/>
    <w:rsid w:val="2DEB3F18"/>
    <w:rsid w:val="2E2E5E3B"/>
    <w:rsid w:val="2E787996"/>
    <w:rsid w:val="2EB4273E"/>
    <w:rsid w:val="2ED97D09"/>
    <w:rsid w:val="2F071117"/>
    <w:rsid w:val="300366E9"/>
    <w:rsid w:val="30257DE6"/>
    <w:rsid w:val="30384147"/>
    <w:rsid w:val="30526C09"/>
    <w:rsid w:val="3095098E"/>
    <w:rsid w:val="30A867A0"/>
    <w:rsid w:val="30B02FB8"/>
    <w:rsid w:val="315341D8"/>
    <w:rsid w:val="317C575D"/>
    <w:rsid w:val="31FE5745"/>
    <w:rsid w:val="324B03E8"/>
    <w:rsid w:val="32657590"/>
    <w:rsid w:val="3271763E"/>
    <w:rsid w:val="328C5AE5"/>
    <w:rsid w:val="32AE0780"/>
    <w:rsid w:val="33591976"/>
    <w:rsid w:val="33630C96"/>
    <w:rsid w:val="34381528"/>
    <w:rsid w:val="346D727A"/>
    <w:rsid w:val="34B85E23"/>
    <w:rsid w:val="34DF32C7"/>
    <w:rsid w:val="35653943"/>
    <w:rsid w:val="36524D92"/>
    <w:rsid w:val="36C916EA"/>
    <w:rsid w:val="37AC7E04"/>
    <w:rsid w:val="38573BCE"/>
    <w:rsid w:val="396D4833"/>
    <w:rsid w:val="3A21691D"/>
    <w:rsid w:val="3A4F0722"/>
    <w:rsid w:val="3A6131C4"/>
    <w:rsid w:val="3AB81B5B"/>
    <w:rsid w:val="3B570F4A"/>
    <w:rsid w:val="3BA4428C"/>
    <w:rsid w:val="3C0C39A9"/>
    <w:rsid w:val="3DBA3FCD"/>
    <w:rsid w:val="3DC33EFE"/>
    <w:rsid w:val="3FA707DF"/>
    <w:rsid w:val="403109EC"/>
    <w:rsid w:val="40737D13"/>
    <w:rsid w:val="40B761EF"/>
    <w:rsid w:val="40EE001E"/>
    <w:rsid w:val="41053777"/>
    <w:rsid w:val="417A3163"/>
    <w:rsid w:val="41810DB1"/>
    <w:rsid w:val="41C25BE6"/>
    <w:rsid w:val="41DD07B8"/>
    <w:rsid w:val="422837C1"/>
    <w:rsid w:val="422F07BB"/>
    <w:rsid w:val="42C561F5"/>
    <w:rsid w:val="42D63FAB"/>
    <w:rsid w:val="42EE7266"/>
    <w:rsid w:val="431703FF"/>
    <w:rsid w:val="436852AF"/>
    <w:rsid w:val="43FA1C46"/>
    <w:rsid w:val="44812D98"/>
    <w:rsid w:val="44BD79C9"/>
    <w:rsid w:val="450D06C3"/>
    <w:rsid w:val="45EC5B60"/>
    <w:rsid w:val="469830DA"/>
    <w:rsid w:val="47DA0642"/>
    <w:rsid w:val="483538D1"/>
    <w:rsid w:val="48750C24"/>
    <w:rsid w:val="48A17371"/>
    <w:rsid w:val="48FC17A6"/>
    <w:rsid w:val="49224BA8"/>
    <w:rsid w:val="49C5667A"/>
    <w:rsid w:val="4A223436"/>
    <w:rsid w:val="4A556A47"/>
    <w:rsid w:val="4A642115"/>
    <w:rsid w:val="4A6A3148"/>
    <w:rsid w:val="4AA80F9E"/>
    <w:rsid w:val="4ABB10A9"/>
    <w:rsid w:val="4BAE1BA8"/>
    <w:rsid w:val="4BED2F86"/>
    <w:rsid w:val="4C46312C"/>
    <w:rsid w:val="4C493449"/>
    <w:rsid w:val="4C844948"/>
    <w:rsid w:val="4D067208"/>
    <w:rsid w:val="4D2A7FE4"/>
    <w:rsid w:val="4D5C06FB"/>
    <w:rsid w:val="4E603076"/>
    <w:rsid w:val="4F5E5810"/>
    <w:rsid w:val="4F7B09BC"/>
    <w:rsid w:val="4F892440"/>
    <w:rsid w:val="507D0101"/>
    <w:rsid w:val="50A04133"/>
    <w:rsid w:val="510F1AB4"/>
    <w:rsid w:val="51D73FEB"/>
    <w:rsid w:val="51F11D02"/>
    <w:rsid w:val="521926AE"/>
    <w:rsid w:val="52311F2B"/>
    <w:rsid w:val="52552F11"/>
    <w:rsid w:val="52B66ECE"/>
    <w:rsid w:val="52B74CF7"/>
    <w:rsid w:val="53272C18"/>
    <w:rsid w:val="53A5097D"/>
    <w:rsid w:val="53CE61AD"/>
    <w:rsid w:val="53DA2E01"/>
    <w:rsid w:val="563062C6"/>
    <w:rsid w:val="565E3E1E"/>
    <w:rsid w:val="56BC5DF8"/>
    <w:rsid w:val="576D1727"/>
    <w:rsid w:val="57CC65AD"/>
    <w:rsid w:val="57DB60A6"/>
    <w:rsid w:val="57E16938"/>
    <w:rsid w:val="589762AF"/>
    <w:rsid w:val="58A86466"/>
    <w:rsid w:val="58CD3EAC"/>
    <w:rsid w:val="59A02D0E"/>
    <w:rsid w:val="59BF5B7B"/>
    <w:rsid w:val="5A1952FD"/>
    <w:rsid w:val="5A3F09EF"/>
    <w:rsid w:val="5ABB4D2A"/>
    <w:rsid w:val="5AC86B94"/>
    <w:rsid w:val="5B1212CA"/>
    <w:rsid w:val="5B80695D"/>
    <w:rsid w:val="5B9253F5"/>
    <w:rsid w:val="5C7D650F"/>
    <w:rsid w:val="5CA46110"/>
    <w:rsid w:val="5D3D261B"/>
    <w:rsid w:val="5D8011D6"/>
    <w:rsid w:val="5DE30AAA"/>
    <w:rsid w:val="5E381126"/>
    <w:rsid w:val="5E3A3FC6"/>
    <w:rsid w:val="5E415B7D"/>
    <w:rsid w:val="5E5E34E6"/>
    <w:rsid w:val="5E945BD3"/>
    <w:rsid w:val="5F604FAB"/>
    <w:rsid w:val="5FC064F8"/>
    <w:rsid w:val="5FDB057F"/>
    <w:rsid w:val="60113810"/>
    <w:rsid w:val="60BF18DD"/>
    <w:rsid w:val="62684A66"/>
    <w:rsid w:val="628337A7"/>
    <w:rsid w:val="6307281F"/>
    <w:rsid w:val="632E015E"/>
    <w:rsid w:val="63C73751"/>
    <w:rsid w:val="63ED6B57"/>
    <w:rsid w:val="65804A63"/>
    <w:rsid w:val="65884DED"/>
    <w:rsid w:val="65BC59DE"/>
    <w:rsid w:val="65C85C22"/>
    <w:rsid w:val="65F7675C"/>
    <w:rsid w:val="660D5323"/>
    <w:rsid w:val="662F06E5"/>
    <w:rsid w:val="666E50FD"/>
    <w:rsid w:val="66894E58"/>
    <w:rsid w:val="66897651"/>
    <w:rsid w:val="66F321A8"/>
    <w:rsid w:val="68854260"/>
    <w:rsid w:val="69A15954"/>
    <w:rsid w:val="69C73114"/>
    <w:rsid w:val="6AA12F10"/>
    <w:rsid w:val="6AA620F1"/>
    <w:rsid w:val="6AD95F14"/>
    <w:rsid w:val="6AE609F8"/>
    <w:rsid w:val="6B97516A"/>
    <w:rsid w:val="6B9D7E73"/>
    <w:rsid w:val="6B9F717D"/>
    <w:rsid w:val="6C145829"/>
    <w:rsid w:val="6CC54F63"/>
    <w:rsid w:val="6CED4295"/>
    <w:rsid w:val="6D0959CB"/>
    <w:rsid w:val="6D627699"/>
    <w:rsid w:val="6DAA0ABE"/>
    <w:rsid w:val="6E131B3A"/>
    <w:rsid w:val="6E244354"/>
    <w:rsid w:val="6E5A08E0"/>
    <w:rsid w:val="6E762EA8"/>
    <w:rsid w:val="6EAB2C8C"/>
    <w:rsid w:val="6F375998"/>
    <w:rsid w:val="6F944668"/>
    <w:rsid w:val="70E51F59"/>
    <w:rsid w:val="720E6B39"/>
    <w:rsid w:val="7259673D"/>
    <w:rsid w:val="727D432A"/>
    <w:rsid w:val="72F43812"/>
    <w:rsid w:val="737D5BC0"/>
    <w:rsid w:val="73A07FBA"/>
    <w:rsid w:val="73B033CA"/>
    <w:rsid w:val="73B9107C"/>
    <w:rsid w:val="7488485D"/>
    <w:rsid w:val="74DD487D"/>
    <w:rsid w:val="75063D8B"/>
    <w:rsid w:val="762D30DF"/>
    <w:rsid w:val="7679327B"/>
    <w:rsid w:val="7690283F"/>
    <w:rsid w:val="76BF2576"/>
    <w:rsid w:val="77101952"/>
    <w:rsid w:val="776C05D5"/>
    <w:rsid w:val="777D5BC2"/>
    <w:rsid w:val="779E5190"/>
    <w:rsid w:val="7812485C"/>
    <w:rsid w:val="78403FA1"/>
    <w:rsid w:val="785660A2"/>
    <w:rsid w:val="788D5E05"/>
    <w:rsid w:val="78D63876"/>
    <w:rsid w:val="793D5E69"/>
    <w:rsid w:val="79453822"/>
    <w:rsid w:val="79A213FE"/>
    <w:rsid w:val="7AFE0F48"/>
    <w:rsid w:val="7B13263B"/>
    <w:rsid w:val="7B3A1699"/>
    <w:rsid w:val="7B3B60CC"/>
    <w:rsid w:val="7B537E75"/>
    <w:rsid w:val="7B8004F5"/>
    <w:rsid w:val="7B9E2D55"/>
    <w:rsid w:val="7C5D1243"/>
    <w:rsid w:val="7D051950"/>
    <w:rsid w:val="7E662073"/>
    <w:rsid w:val="7EDE1F45"/>
    <w:rsid w:val="7EF94F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1"/>
    <w:qFormat/>
    <w:uiPriority w:val="99"/>
    <w:pPr>
      <w:keepNext/>
      <w:keepLines/>
      <w:spacing w:before="260" w:after="260" w:line="416" w:lineRule="auto"/>
      <w:outlineLvl w:val="2"/>
    </w:pPr>
    <w:rPr>
      <w:b/>
      <w:bCs/>
      <w:sz w:val="32"/>
      <w:szCs w:val="32"/>
    </w:rPr>
  </w:style>
  <w:style w:type="paragraph" w:styleId="6">
    <w:name w:val="heading 4"/>
    <w:basedOn w:val="1"/>
    <w:next w:val="1"/>
    <w:link w:val="52"/>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99"/>
    <w:pPr>
      <w:keepNext/>
      <w:keepLines/>
      <w:spacing w:before="280" w:after="290" w:line="376" w:lineRule="auto"/>
      <w:outlineLvl w:val="4"/>
    </w:pPr>
    <w:rPr>
      <w:b/>
      <w:bCs/>
      <w:sz w:val="28"/>
      <w:szCs w:val="28"/>
    </w:rPr>
  </w:style>
  <w:style w:type="paragraph" w:styleId="8">
    <w:name w:val="heading 6"/>
    <w:basedOn w:val="1"/>
    <w:next w:val="1"/>
    <w:link w:val="54"/>
    <w:qFormat/>
    <w:uiPriority w:val="99"/>
    <w:pPr>
      <w:keepNext/>
      <w:keepLines/>
      <w:spacing w:before="240" w:after="64" w:line="320" w:lineRule="auto"/>
      <w:outlineLvl w:val="5"/>
    </w:pPr>
    <w:rPr>
      <w:rFonts w:ascii="Arial" w:hAnsi="Arial" w:eastAsia="黑体"/>
      <w:b/>
      <w:bCs/>
      <w:sz w:val="24"/>
    </w:rPr>
  </w:style>
  <w:style w:type="paragraph" w:styleId="9">
    <w:name w:val="heading 7"/>
    <w:basedOn w:val="1"/>
    <w:next w:val="1"/>
    <w:link w:val="55"/>
    <w:qFormat/>
    <w:uiPriority w:val="99"/>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10">
    <w:name w:val="heading 8"/>
    <w:basedOn w:val="1"/>
    <w:next w:val="1"/>
    <w:link w:val="56"/>
    <w:qFormat/>
    <w:uiPriority w:val="99"/>
    <w:pPr>
      <w:keepNext/>
      <w:keepLines/>
      <w:tabs>
        <w:tab w:val="left" w:pos="480"/>
      </w:tabs>
      <w:adjustRightInd w:val="0"/>
      <w:spacing w:before="240" w:after="64" w:line="320" w:lineRule="atLeast"/>
      <w:ind w:left="960" w:hanging="960"/>
      <w:jc w:val="center"/>
      <w:textAlignment w:val="baseline"/>
      <w:outlineLvl w:val="7"/>
    </w:pPr>
    <w:rPr>
      <w:rFonts w:ascii="Arial" w:hAnsi="Arial" w:eastAsia="黑体"/>
      <w:kern w:val="0"/>
      <w:sz w:val="44"/>
      <w:szCs w:val="20"/>
    </w:rPr>
  </w:style>
  <w:style w:type="paragraph" w:styleId="11">
    <w:name w:val="heading 9"/>
    <w:basedOn w:val="1"/>
    <w:next w:val="1"/>
    <w:link w:val="57"/>
    <w:qFormat/>
    <w:uiPriority w:val="99"/>
    <w:pPr>
      <w:keepNext/>
      <w:keepLines/>
      <w:spacing w:before="240" w:after="64" w:line="320" w:lineRule="auto"/>
      <w:outlineLvl w:val="8"/>
    </w:pPr>
    <w:rPr>
      <w:rFonts w:ascii="Arial" w:hAnsi="Arial" w:eastAsia="黑体"/>
      <w:szCs w:val="21"/>
    </w:rPr>
  </w:style>
  <w:style w:type="character" w:default="1" w:styleId="42">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68"/>
    <w:qFormat/>
    <w:uiPriority w:val="99"/>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12">
    <w:name w:val="toc 7"/>
    <w:basedOn w:val="1"/>
    <w:next w:val="1"/>
    <w:semiHidden/>
    <w:qFormat/>
    <w:uiPriority w:val="99"/>
    <w:pPr>
      <w:ind w:left="2520" w:leftChars="1200"/>
    </w:pPr>
  </w:style>
  <w:style w:type="paragraph" w:styleId="13">
    <w:name w:val="Normal Indent"/>
    <w:basedOn w:val="1"/>
    <w:link w:val="180"/>
    <w:qFormat/>
    <w:uiPriority w:val="99"/>
    <w:pPr>
      <w:autoSpaceDE w:val="0"/>
      <w:autoSpaceDN w:val="0"/>
      <w:spacing w:line="360" w:lineRule="auto"/>
      <w:ind w:left="181" w:firstLine="420"/>
    </w:pPr>
    <w:rPr>
      <w:sz w:val="24"/>
      <w:szCs w:val="20"/>
    </w:rPr>
  </w:style>
  <w:style w:type="paragraph" w:styleId="14">
    <w:name w:val="Document Map"/>
    <w:basedOn w:val="1"/>
    <w:link w:val="59"/>
    <w:semiHidden/>
    <w:qFormat/>
    <w:uiPriority w:val="99"/>
    <w:pPr>
      <w:shd w:val="clear" w:color="auto" w:fill="000080"/>
    </w:pPr>
  </w:style>
  <w:style w:type="paragraph" w:styleId="15">
    <w:name w:val="annotation text"/>
    <w:basedOn w:val="1"/>
    <w:link w:val="60"/>
    <w:qFormat/>
    <w:uiPriority w:val="99"/>
    <w:pPr>
      <w:jc w:val="left"/>
    </w:pPr>
  </w:style>
  <w:style w:type="paragraph" w:styleId="16">
    <w:name w:val="Body Text"/>
    <w:basedOn w:val="1"/>
    <w:next w:val="17"/>
    <w:link w:val="61"/>
    <w:qFormat/>
    <w:uiPriority w:val="99"/>
    <w:pPr>
      <w:autoSpaceDE w:val="0"/>
      <w:autoSpaceDN w:val="0"/>
      <w:adjustRightInd w:val="0"/>
    </w:pPr>
    <w:rPr>
      <w:b/>
      <w:bCs/>
      <w:color w:val="000000"/>
      <w:szCs w:val="28"/>
      <w:lang w:val="zh-CN"/>
    </w:rPr>
  </w:style>
  <w:style w:type="paragraph" w:styleId="17">
    <w:name w:val="toc 2"/>
    <w:basedOn w:val="1"/>
    <w:next w:val="1"/>
    <w:semiHidden/>
    <w:qFormat/>
    <w:uiPriority w:val="99"/>
    <w:pPr>
      <w:tabs>
        <w:tab w:val="right" w:leader="dot" w:pos="8296"/>
      </w:tabs>
    </w:pPr>
    <w:rPr>
      <w:rFonts w:ascii="宋体" w:hAnsi="宋体"/>
      <w:sz w:val="28"/>
    </w:rPr>
  </w:style>
  <w:style w:type="paragraph" w:styleId="18">
    <w:name w:val="Body Text Indent"/>
    <w:basedOn w:val="1"/>
    <w:link w:val="62"/>
    <w:qFormat/>
    <w:uiPriority w:val="99"/>
    <w:pPr>
      <w:ind w:firstLine="538" w:firstLineChars="192"/>
    </w:pPr>
    <w:rPr>
      <w:rFonts w:ascii="宋体" w:hAnsi="宋体"/>
      <w:sz w:val="28"/>
    </w:rPr>
  </w:style>
  <w:style w:type="paragraph" w:styleId="19">
    <w:name w:val="toc 5"/>
    <w:basedOn w:val="1"/>
    <w:next w:val="1"/>
    <w:semiHidden/>
    <w:qFormat/>
    <w:uiPriority w:val="99"/>
    <w:pPr>
      <w:ind w:left="1680" w:leftChars="800"/>
    </w:pPr>
  </w:style>
  <w:style w:type="paragraph" w:styleId="20">
    <w:name w:val="toc 3"/>
    <w:basedOn w:val="1"/>
    <w:next w:val="1"/>
    <w:semiHidden/>
    <w:qFormat/>
    <w:uiPriority w:val="99"/>
    <w:pPr>
      <w:ind w:left="840" w:leftChars="400"/>
    </w:pPr>
  </w:style>
  <w:style w:type="paragraph" w:styleId="21">
    <w:name w:val="Plain Text"/>
    <w:basedOn w:val="1"/>
    <w:link w:val="63"/>
    <w:qFormat/>
    <w:uiPriority w:val="99"/>
    <w:rPr>
      <w:rFonts w:ascii="宋体" w:hAnsi="Courier New"/>
      <w:szCs w:val="20"/>
    </w:rPr>
  </w:style>
  <w:style w:type="paragraph" w:styleId="22">
    <w:name w:val="toc 8"/>
    <w:basedOn w:val="1"/>
    <w:next w:val="1"/>
    <w:semiHidden/>
    <w:qFormat/>
    <w:uiPriority w:val="99"/>
    <w:pPr>
      <w:ind w:left="2940" w:leftChars="1400"/>
    </w:pPr>
  </w:style>
  <w:style w:type="paragraph" w:styleId="23">
    <w:name w:val="Date"/>
    <w:basedOn w:val="1"/>
    <w:next w:val="1"/>
    <w:link w:val="64"/>
    <w:qFormat/>
    <w:uiPriority w:val="99"/>
    <w:pPr>
      <w:adjustRightInd w:val="0"/>
      <w:spacing w:line="312" w:lineRule="atLeast"/>
      <w:jc w:val="right"/>
      <w:textAlignment w:val="baseline"/>
    </w:pPr>
    <w:rPr>
      <w:kern w:val="0"/>
      <w:sz w:val="32"/>
      <w:szCs w:val="32"/>
    </w:rPr>
  </w:style>
  <w:style w:type="paragraph" w:styleId="24">
    <w:name w:val="Body Text Indent 2"/>
    <w:basedOn w:val="1"/>
    <w:link w:val="65"/>
    <w:qFormat/>
    <w:uiPriority w:val="99"/>
    <w:pPr>
      <w:spacing w:line="360" w:lineRule="auto"/>
      <w:ind w:firstLine="540"/>
    </w:pPr>
    <w:rPr>
      <w:sz w:val="28"/>
    </w:rPr>
  </w:style>
  <w:style w:type="paragraph" w:styleId="25">
    <w:name w:val="Balloon Text"/>
    <w:basedOn w:val="1"/>
    <w:link w:val="66"/>
    <w:qFormat/>
    <w:uiPriority w:val="99"/>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toc 1"/>
    <w:basedOn w:val="1"/>
    <w:next w:val="1"/>
    <w:semiHidden/>
    <w:qFormat/>
    <w:uiPriority w:val="99"/>
    <w:pPr>
      <w:jc w:val="center"/>
    </w:pPr>
    <w:rPr>
      <w:rFonts w:ascii="仿宋_GB2312" w:eastAsia="仿宋_GB2312"/>
      <w:b/>
      <w:bCs/>
      <w:sz w:val="32"/>
    </w:rPr>
  </w:style>
  <w:style w:type="paragraph" w:styleId="28">
    <w:name w:val="toc 4"/>
    <w:basedOn w:val="1"/>
    <w:next w:val="1"/>
    <w:semiHidden/>
    <w:qFormat/>
    <w:uiPriority w:val="99"/>
    <w:pPr>
      <w:jc w:val="center"/>
    </w:pPr>
    <w:rPr>
      <w:rFonts w:eastAsia="黑体"/>
      <w:sz w:val="36"/>
    </w:rPr>
  </w:style>
  <w:style w:type="paragraph" w:styleId="29">
    <w:name w:val="toc 6"/>
    <w:basedOn w:val="1"/>
    <w:next w:val="1"/>
    <w:semiHidden/>
    <w:qFormat/>
    <w:uiPriority w:val="99"/>
    <w:pPr>
      <w:ind w:left="2100" w:leftChars="1000"/>
    </w:pPr>
  </w:style>
  <w:style w:type="paragraph" w:styleId="30">
    <w:name w:val="Body Text Indent 3"/>
    <w:basedOn w:val="1"/>
    <w:link w:val="69"/>
    <w:qFormat/>
    <w:uiPriority w:val="99"/>
    <w:pPr>
      <w:spacing w:line="360" w:lineRule="auto"/>
      <w:ind w:firstLine="538" w:firstLineChars="224"/>
    </w:pPr>
    <w:rPr>
      <w:bCs/>
      <w:sz w:val="24"/>
    </w:rPr>
  </w:style>
  <w:style w:type="paragraph" w:styleId="31">
    <w:name w:val="toc 9"/>
    <w:basedOn w:val="1"/>
    <w:next w:val="1"/>
    <w:semiHidden/>
    <w:qFormat/>
    <w:uiPriority w:val="99"/>
    <w:pPr>
      <w:ind w:left="3360" w:leftChars="1600"/>
    </w:pPr>
  </w:style>
  <w:style w:type="paragraph" w:styleId="32">
    <w:name w:val="Body Text 2"/>
    <w:basedOn w:val="1"/>
    <w:link w:val="70"/>
    <w:qFormat/>
    <w:uiPriority w:val="99"/>
    <w:pPr>
      <w:autoSpaceDE w:val="0"/>
      <w:autoSpaceDN w:val="0"/>
      <w:adjustRightInd w:val="0"/>
    </w:pPr>
    <w:rPr>
      <w:color w:val="000000"/>
    </w:rPr>
  </w:style>
  <w:style w:type="paragraph" w:styleId="33">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9" w:lineRule="atLeast"/>
      <w:jc w:val="left"/>
    </w:pPr>
    <w:rPr>
      <w:rFonts w:ascii="Arial" w:hAnsi="Arial" w:cs="Arial"/>
      <w:kern w:val="0"/>
      <w:sz w:val="25"/>
      <w:szCs w:val="25"/>
    </w:rPr>
  </w:style>
  <w:style w:type="paragraph" w:styleId="3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5">
    <w:name w:val="index 1"/>
    <w:basedOn w:val="1"/>
    <w:next w:val="1"/>
    <w:semiHidden/>
    <w:qFormat/>
    <w:uiPriority w:val="99"/>
    <w:pPr>
      <w:ind w:left="307" w:hanging="307" w:hangingChars="128"/>
    </w:pPr>
    <w:rPr>
      <w:rFonts w:ascii="宋体" w:hAnsi="宋体"/>
      <w:spacing w:val="20"/>
      <w:sz w:val="24"/>
    </w:rPr>
  </w:style>
  <w:style w:type="paragraph" w:styleId="36">
    <w:name w:val="Title"/>
    <w:basedOn w:val="1"/>
    <w:next w:val="1"/>
    <w:link w:val="72"/>
    <w:qFormat/>
    <w:uiPriority w:val="99"/>
    <w:pPr>
      <w:widowControl/>
      <w:overflowPunct w:val="0"/>
      <w:autoSpaceDE w:val="0"/>
      <w:autoSpaceDN w:val="0"/>
      <w:adjustRightInd w:val="0"/>
      <w:jc w:val="center"/>
    </w:pPr>
    <w:rPr>
      <w:b/>
      <w:kern w:val="0"/>
      <w:sz w:val="24"/>
      <w:szCs w:val="20"/>
      <w:lang w:val="en-GB"/>
    </w:rPr>
  </w:style>
  <w:style w:type="paragraph" w:styleId="37">
    <w:name w:val="annotation subject"/>
    <w:basedOn w:val="15"/>
    <w:next w:val="15"/>
    <w:link w:val="73"/>
    <w:semiHidden/>
    <w:qFormat/>
    <w:uiPriority w:val="99"/>
    <w:rPr>
      <w:b/>
      <w:bCs/>
    </w:rPr>
  </w:style>
  <w:style w:type="paragraph" w:styleId="38">
    <w:name w:val="Body Text First Indent"/>
    <w:basedOn w:val="16"/>
    <w:link w:val="74"/>
    <w:qFormat/>
    <w:uiPriority w:val="99"/>
    <w:pPr>
      <w:autoSpaceDE/>
      <w:autoSpaceDN/>
      <w:adjustRightInd/>
      <w:spacing w:after="120"/>
      <w:ind w:firstLine="420" w:firstLineChars="100"/>
    </w:pPr>
    <w:rPr>
      <w:b w:val="0"/>
      <w:bCs w:val="0"/>
      <w:color w:val="auto"/>
      <w:szCs w:val="24"/>
      <w:lang w:val="en-US"/>
    </w:r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1">
    <w:name w:val="Table Web 3"/>
    <w:basedOn w:val="39"/>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character" w:styleId="43">
    <w:name w:val="Strong"/>
    <w:basedOn w:val="42"/>
    <w:qFormat/>
    <w:uiPriority w:val="99"/>
    <w:rPr>
      <w:rFonts w:cs="Times New Roman"/>
      <w:b/>
      <w:bCs/>
    </w:rPr>
  </w:style>
  <w:style w:type="character" w:styleId="44">
    <w:name w:val="page number"/>
    <w:basedOn w:val="42"/>
    <w:qFormat/>
    <w:uiPriority w:val="99"/>
    <w:rPr>
      <w:rFonts w:cs="Times New Roman"/>
    </w:rPr>
  </w:style>
  <w:style w:type="character" w:styleId="45">
    <w:name w:val="FollowedHyperlink"/>
    <w:basedOn w:val="42"/>
    <w:qFormat/>
    <w:uiPriority w:val="99"/>
    <w:rPr>
      <w:rFonts w:cs="Times New Roman"/>
      <w:color w:val="800080"/>
      <w:u w:val="single"/>
    </w:rPr>
  </w:style>
  <w:style w:type="character" w:styleId="46">
    <w:name w:val="Hyperlink"/>
    <w:basedOn w:val="42"/>
    <w:qFormat/>
    <w:uiPriority w:val="99"/>
    <w:rPr>
      <w:rFonts w:cs="Times New Roman"/>
      <w:color w:val="0000FF"/>
      <w:u w:val="single"/>
    </w:rPr>
  </w:style>
  <w:style w:type="character" w:styleId="47">
    <w:name w:val="annotation reference"/>
    <w:basedOn w:val="42"/>
    <w:qFormat/>
    <w:uiPriority w:val="99"/>
    <w:rPr>
      <w:rFonts w:cs="Times New Roman"/>
      <w:sz w:val="21"/>
      <w:szCs w:val="21"/>
    </w:rPr>
  </w:style>
  <w:style w:type="paragraph" w:customStyle="1" w:styleId="48">
    <w:name w:val="_Style 2"/>
    <w:basedOn w:val="1"/>
    <w:next w:val="1"/>
    <w:qFormat/>
    <w:uiPriority w:val="34"/>
    <w:pPr>
      <w:ind w:firstLine="420"/>
    </w:pPr>
  </w:style>
  <w:style w:type="character" w:customStyle="1" w:styleId="49">
    <w:name w:val="标题 1 Char"/>
    <w:basedOn w:val="42"/>
    <w:link w:val="3"/>
    <w:qFormat/>
    <w:locked/>
    <w:uiPriority w:val="99"/>
    <w:rPr>
      <w:rFonts w:eastAsia="宋体" w:cs="Times New Roman"/>
      <w:b/>
      <w:bCs/>
      <w:kern w:val="44"/>
      <w:sz w:val="44"/>
      <w:szCs w:val="44"/>
      <w:lang w:val="en-US" w:eastAsia="zh-CN" w:bidi="ar-SA"/>
    </w:rPr>
  </w:style>
  <w:style w:type="character" w:customStyle="1" w:styleId="50">
    <w:name w:val="标题 2 Char"/>
    <w:basedOn w:val="42"/>
    <w:link w:val="4"/>
    <w:qFormat/>
    <w:locked/>
    <w:uiPriority w:val="99"/>
    <w:rPr>
      <w:rFonts w:ascii="Arial" w:hAnsi="Arial" w:eastAsia="黑体" w:cs="Times New Roman"/>
      <w:b/>
      <w:bCs/>
      <w:kern w:val="2"/>
      <w:sz w:val="32"/>
      <w:szCs w:val="32"/>
      <w:lang w:val="en-US" w:eastAsia="zh-CN" w:bidi="ar-SA"/>
    </w:rPr>
  </w:style>
  <w:style w:type="character" w:customStyle="1" w:styleId="51">
    <w:name w:val="标题 3 Char"/>
    <w:basedOn w:val="42"/>
    <w:link w:val="5"/>
    <w:qFormat/>
    <w:locked/>
    <w:uiPriority w:val="99"/>
    <w:rPr>
      <w:rFonts w:eastAsia="宋体" w:cs="Times New Roman"/>
      <w:b/>
      <w:bCs/>
      <w:kern w:val="2"/>
      <w:sz w:val="32"/>
      <w:szCs w:val="32"/>
      <w:lang w:val="en-US" w:eastAsia="zh-CN" w:bidi="ar-SA"/>
    </w:rPr>
  </w:style>
  <w:style w:type="character" w:customStyle="1" w:styleId="52">
    <w:name w:val="标题 4 Char"/>
    <w:basedOn w:val="42"/>
    <w:link w:val="6"/>
    <w:qFormat/>
    <w:locked/>
    <w:uiPriority w:val="99"/>
    <w:rPr>
      <w:rFonts w:ascii="Arial" w:hAnsi="Arial" w:eastAsia="黑体" w:cs="Times New Roman"/>
      <w:b/>
      <w:bCs/>
      <w:kern w:val="2"/>
      <w:sz w:val="28"/>
      <w:szCs w:val="28"/>
      <w:lang w:val="en-US" w:eastAsia="zh-CN" w:bidi="ar-SA"/>
    </w:rPr>
  </w:style>
  <w:style w:type="character" w:customStyle="1" w:styleId="53">
    <w:name w:val="标题 5 Char"/>
    <w:basedOn w:val="42"/>
    <w:link w:val="7"/>
    <w:qFormat/>
    <w:locked/>
    <w:uiPriority w:val="99"/>
    <w:rPr>
      <w:rFonts w:eastAsia="宋体" w:cs="Times New Roman"/>
      <w:b/>
      <w:bCs/>
      <w:kern w:val="2"/>
      <w:sz w:val="28"/>
      <w:szCs w:val="28"/>
      <w:lang w:val="en-US" w:eastAsia="zh-CN" w:bidi="ar-SA"/>
    </w:rPr>
  </w:style>
  <w:style w:type="character" w:customStyle="1" w:styleId="54">
    <w:name w:val="标题 6 Char"/>
    <w:basedOn w:val="42"/>
    <w:link w:val="8"/>
    <w:semiHidden/>
    <w:qFormat/>
    <w:uiPriority w:val="9"/>
    <w:rPr>
      <w:rFonts w:ascii="Cambria" w:hAnsi="Cambria" w:eastAsia="宋体" w:cs="Times New Roman"/>
      <w:b/>
      <w:bCs/>
      <w:sz w:val="24"/>
      <w:szCs w:val="24"/>
    </w:rPr>
  </w:style>
  <w:style w:type="character" w:customStyle="1" w:styleId="55">
    <w:name w:val="标题 7 Char"/>
    <w:basedOn w:val="42"/>
    <w:link w:val="9"/>
    <w:semiHidden/>
    <w:qFormat/>
    <w:uiPriority w:val="9"/>
    <w:rPr>
      <w:b/>
      <w:bCs/>
      <w:sz w:val="24"/>
      <w:szCs w:val="24"/>
    </w:rPr>
  </w:style>
  <w:style w:type="character" w:customStyle="1" w:styleId="56">
    <w:name w:val="标题 8 Char"/>
    <w:basedOn w:val="42"/>
    <w:link w:val="10"/>
    <w:qFormat/>
    <w:locked/>
    <w:uiPriority w:val="99"/>
    <w:rPr>
      <w:rFonts w:ascii="Arial" w:hAnsi="Arial" w:eastAsia="黑体"/>
      <w:sz w:val="44"/>
      <w:lang w:val="en-US" w:eastAsia="zh-CN"/>
    </w:rPr>
  </w:style>
  <w:style w:type="character" w:customStyle="1" w:styleId="57">
    <w:name w:val="标题 9 Char"/>
    <w:basedOn w:val="42"/>
    <w:link w:val="11"/>
    <w:semiHidden/>
    <w:qFormat/>
    <w:uiPriority w:val="9"/>
    <w:rPr>
      <w:rFonts w:ascii="Cambria" w:hAnsi="Cambria" w:eastAsia="宋体" w:cs="Times New Roman"/>
      <w:szCs w:val="21"/>
    </w:rPr>
  </w:style>
  <w:style w:type="paragraph" w:customStyle="1" w:styleId="58">
    <w:name w:val="No Spacing1"/>
    <w:basedOn w:val="1"/>
    <w:qFormat/>
    <w:uiPriority w:val="99"/>
    <w:pPr>
      <w:spacing w:line="400" w:lineRule="exact"/>
    </w:pPr>
    <w:rPr>
      <w:sz w:val="24"/>
    </w:rPr>
  </w:style>
  <w:style w:type="character" w:customStyle="1" w:styleId="59">
    <w:name w:val="文档结构图 Char"/>
    <w:basedOn w:val="42"/>
    <w:link w:val="14"/>
    <w:semiHidden/>
    <w:qFormat/>
    <w:locked/>
    <w:uiPriority w:val="99"/>
    <w:rPr>
      <w:rFonts w:eastAsia="宋体" w:cs="Times New Roman"/>
      <w:kern w:val="2"/>
      <w:sz w:val="24"/>
      <w:szCs w:val="24"/>
      <w:lang w:val="en-US" w:eastAsia="zh-CN" w:bidi="ar-SA"/>
    </w:rPr>
  </w:style>
  <w:style w:type="character" w:customStyle="1" w:styleId="60">
    <w:name w:val="批注文字 Char"/>
    <w:basedOn w:val="42"/>
    <w:link w:val="15"/>
    <w:qFormat/>
    <w:locked/>
    <w:uiPriority w:val="99"/>
    <w:rPr>
      <w:kern w:val="2"/>
      <w:sz w:val="24"/>
    </w:rPr>
  </w:style>
  <w:style w:type="character" w:customStyle="1" w:styleId="61">
    <w:name w:val="正文文本 Char"/>
    <w:basedOn w:val="42"/>
    <w:link w:val="16"/>
    <w:qFormat/>
    <w:locked/>
    <w:uiPriority w:val="99"/>
    <w:rPr>
      <w:rFonts w:eastAsia="宋体" w:cs="Times New Roman"/>
      <w:b/>
      <w:bCs/>
      <w:color w:val="000000"/>
      <w:kern w:val="2"/>
      <w:sz w:val="28"/>
      <w:szCs w:val="28"/>
      <w:lang w:val="zh-CN" w:eastAsia="zh-CN" w:bidi="ar-SA"/>
    </w:rPr>
  </w:style>
  <w:style w:type="character" w:customStyle="1" w:styleId="62">
    <w:name w:val="正文文本缩进 Char1"/>
    <w:basedOn w:val="42"/>
    <w:link w:val="18"/>
    <w:qFormat/>
    <w:locked/>
    <w:uiPriority w:val="99"/>
    <w:rPr>
      <w:rFonts w:ascii="宋体" w:hAnsi="宋体" w:eastAsia="宋体" w:cs="Times New Roman"/>
      <w:kern w:val="2"/>
      <w:sz w:val="24"/>
      <w:szCs w:val="24"/>
      <w:lang w:val="en-US" w:eastAsia="zh-CN" w:bidi="ar-SA"/>
    </w:rPr>
  </w:style>
  <w:style w:type="character" w:customStyle="1" w:styleId="63">
    <w:name w:val="纯文本 Char1"/>
    <w:basedOn w:val="42"/>
    <w:link w:val="21"/>
    <w:qFormat/>
    <w:locked/>
    <w:uiPriority w:val="99"/>
    <w:rPr>
      <w:rFonts w:ascii="宋体" w:hAnsi="Courier New" w:eastAsia="宋体"/>
      <w:kern w:val="2"/>
      <w:sz w:val="21"/>
      <w:lang w:val="en-US" w:eastAsia="zh-CN"/>
    </w:rPr>
  </w:style>
  <w:style w:type="character" w:customStyle="1" w:styleId="64">
    <w:name w:val="日期 Char1"/>
    <w:basedOn w:val="42"/>
    <w:link w:val="23"/>
    <w:qFormat/>
    <w:locked/>
    <w:uiPriority w:val="99"/>
    <w:rPr>
      <w:rFonts w:eastAsia="宋体" w:cs="Times New Roman"/>
      <w:sz w:val="32"/>
      <w:szCs w:val="32"/>
      <w:lang w:val="en-US" w:eastAsia="zh-CN" w:bidi="ar-SA"/>
    </w:rPr>
  </w:style>
  <w:style w:type="character" w:customStyle="1" w:styleId="65">
    <w:name w:val="正文文本缩进 2 Char"/>
    <w:basedOn w:val="42"/>
    <w:link w:val="24"/>
    <w:semiHidden/>
    <w:qFormat/>
    <w:locked/>
    <w:uiPriority w:val="99"/>
    <w:rPr>
      <w:rFonts w:eastAsia="宋体" w:cs="Times New Roman"/>
      <w:kern w:val="2"/>
      <w:sz w:val="24"/>
      <w:szCs w:val="24"/>
      <w:lang w:val="en-US" w:eastAsia="zh-CN" w:bidi="ar-SA"/>
    </w:rPr>
  </w:style>
  <w:style w:type="character" w:customStyle="1" w:styleId="66">
    <w:name w:val="批注框文本 Char"/>
    <w:basedOn w:val="42"/>
    <w:link w:val="25"/>
    <w:semiHidden/>
    <w:qFormat/>
    <w:locked/>
    <w:uiPriority w:val="99"/>
    <w:rPr>
      <w:rFonts w:eastAsia="宋体" w:cs="Times New Roman"/>
      <w:kern w:val="2"/>
      <w:sz w:val="18"/>
      <w:szCs w:val="18"/>
      <w:lang w:val="en-US" w:eastAsia="zh-CN" w:bidi="ar-SA"/>
    </w:rPr>
  </w:style>
  <w:style w:type="character" w:customStyle="1" w:styleId="67">
    <w:name w:val="页脚 Char"/>
    <w:basedOn w:val="42"/>
    <w:link w:val="26"/>
    <w:qFormat/>
    <w:locked/>
    <w:uiPriority w:val="99"/>
    <w:rPr>
      <w:rFonts w:eastAsia="宋体" w:cs="Times New Roman"/>
      <w:kern w:val="2"/>
      <w:sz w:val="18"/>
      <w:szCs w:val="18"/>
      <w:lang w:val="en-US" w:eastAsia="zh-CN" w:bidi="ar-SA"/>
    </w:rPr>
  </w:style>
  <w:style w:type="character" w:customStyle="1" w:styleId="68">
    <w:name w:val="页眉 Char"/>
    <w:basedOn w:val="42"/>
    <w:link w:val="2"/>
    <w:semiHidden/>
    <w:qFormat/>
    <w:locked/>
    <w:uiPriority w:val="99"/>
    <w:rPr>
      <w:rFonts w:ascii="宋体" w:eastAsia="宋体" w:cs="Times New Roman"/>
      <w:sz w:val="18"/>
      <w:szCs w:val="18"/>
      <w:lang w:val="en-US" w:eastAsia="zh-CN" w:bidi="ar-SA"/>
    </w:rPr>
  </w:style>
  <w:style w:type="character" w:customStyle="1" w:styleId="69">
    <w:name w:val="正文文本缩进 3 Char"/>
    <w:basedOn w:val="42"/>
    <w:link w:val="30"/>
    <w:semiHidden/>
    <w:qFormat/>
    <w:uiPriority w:val="99"/>
    <w:rPr>
      <w:sz w:val="16"/>
      <w:szCs w:val="16"/>
    </w:rPr>
  </w:style>
  <w:style w:type="character" w:customStyle="1" w:styleId="70">
    <w:name w:val="正文文本 2 Char"/>
    <w:basedOn w:val="42"/>
    <w:link w:val="32"/>
    <w:semiHidden/>
    <w:qFormat/>
    <w:uiPriority w:val="99"/>
    <w:rPr>
      <w:szCs w:val="24"/>
    </w:rPr>
  </w:style>
  <w:style w:type="character" w:customStyle="1" w:styleId="71">
    <w:name w:val="HTML 预设格式 Char1"/>
    <w:basedOn w:val="42"/>
    <w:link w:val="33"/>
    <w:semiHidden/>
    <w:qFormat/>
    <w:uiPriority w:val="99"/>
    <w:rPr>
      <w:rFonts w:ascii="Courier New" w:hAnsi="Courier New" w:cs="Courier New"/>
      <w:sz w:val="20"/>
      <w:szCs w:val="20"/>
    </w:rPr>
  </w:style>
  <w:style w:type="character" w:customStyle="1" w:styleId="72">
    <w:name w:val="标题 Char"/>
    <w:basedOn w:val="42"/>
    <w:link w:val="36"/>
    <w:qFormat/>
    <w:uiPriority w:val="10"/>
    <w:rPr>
      <w:rFonts w:ascii="Cambria" w:hAnsi="Cambria" w:cs="Times New Roman"/>
      <w:b/>
      <w:bCs/>
      <w:sz w:val="32"/>
      <w:szCs w:val="32"/>
    </w:rPr>
  </w:style>
  <w:style w:type="character" w:customStyle="1" w:styleId="73">
    <w:name w:val="批注主题 Char"/>
    <w:basedOn w:val="60"/>
    <w:link w:val="37"/>
    <w:semiHidden/>
    <w:qFormat/>
    <w:uiPriority w:val="99"/>
    <w:rPr>
      <w:b/>
      <w:bCs/>
      <w:szCs w:val="24"/>
    </w:rPr>
  </w:style>
  <w:style w:type="character" w:customStyle="1" w:styleId="74">
    <w:name w:val="正文首行缩进 Char"/>
    <w:basedOn w:val="61"/>
    <w:link w:val="38"/>
    <w:qFormat/>
    <w:locked/>
    <w:uiPriority w:val="99"/>
    <w:rPr>
      <w:sz w:val="24"/>
      <w:szCs w:val="24"/>
      <w:lang w:val="en-US"/>
    </w:rPr>
  </w:style>
  <w:style w:type="paragraph" w:customStyle="1" w:styleId="75">
    <w:name w:val="_Style 47"/>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76">
    <w:name w:val="xl44"/>
    <w:basedOn w:val="1"/>
    <w:qFormat/>
    <w:uiPriority w:val="99"/>
    <w:pPr>
      <w:widowControl/>
      <w:spacing w:before="100" w:beforeAutospacing="1" w:after="100" w:afterAutospacing="1"/>
      <w:jc w:val="center"/>
      <w:textAlignment w:val="center"/>
    </w:pPr>
    <w:rPr>
      <w:rFonts w:ascii="黑体" w:hAnsi="宋体" w:eastAsia="黑体"/>
      <w:kern w:val="0"/>
      <w:sz w:val="44"/>
      <w:szCs w:val="44"/>
    </w:rPr>
  </w:style>
  <w:style w:type="paragraph" w:customStyle="1" w:styleId="77">
    <w:name w:val="列出段落1"/>
    <w:basedOn w:val="1"/>
    <w:qFormat/>
    <w:uiPriority w:val="99"/>
    <w:pPr>
      <w:ind w:firstLine="420" w:firstLineChars="200"/>
    </w:pPr>
  </w:style>
  <w:style w:type="paragraph" w:customStyle="1" w:styleId="78">
    <w:name w:val="List Paragraph_3ca62688-32bb-491f-bc5d-c43d2b9dcbcc"/>
    <w:basedOn w:val="1"/>
    <w:qFormat/>
    <w:uiPriority w:val="99"/>
    <w:pPr>
      <w:adjustRightInd w:val="0"/>
      <w:spacing w:line="360" w:lineRule="atLeast"/>
      <w:ind w:firstLine="420" w:firstLineChars="200"/>
      <w:jc w:val="left"/>
      <w:textAlignment w:val="baseline"/>
    </w:pPr>
    <w:rPr>
      <w:kern w:val="0"/>
      <w:sz w:val="24"/>
      <w:szCs w:val="20"/>
    </w:rPr>
  </w:style>
  <w:style w:type="paragraph" w:customStyle="1" w:styleId="7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0">
    <w:name w:val="PI"/>
    <w:basedOn w:val="1"/>
    <w:next w:val="35"/>
    <w:semiHidden/>
    <w:qFormat/>
    <w:uiPriority w:val="99"/>
    <w:pPr>
      <w:pBdr>
        <w:top w:val="single" w:color="auto" w:sz="12" w:space="0"/>
      </w:pBdr>
      <w:adjustRightInd w:val="0"/>
      <w:spacing w:before="360" w:after="240" w:line="360" w:lineRule="atLeast"/>
      <w:ind w:firstLine="482"/>
      <w:jc w:val="left"/>
      <w:textAlignment w:val="baseline"/>
    </w:pPr>
    <w:rPr>
      <w:b/>
      <w:i/>
      <w:kern w:val="0"/>
      <w:sz w:val="26"/>
      <w:szCs w:val="20"/>
    </w:rPr>
  </w:style>
  <w:style w:type="paragraph" w:customStyle="1" w:styleId="81">
    <w:name w:val="xl49"/>
    <w:basedOn w:val="1"/>
    <w:qFormat/>
    <w:uiPriority w:val="99"/>
    <w:pPr>
      <w:widowControl/>
      <w:spacing w:before="100" w:beforeAutospacing="1" w:after="100" w:afterAutospacing="1"/>
      <w:jc w:val="left"/>
    </w:pPr>
    <w:rPr>
      <w:kern w:val="0"/>
      <w:sz w:val="28"/>
      <w:szCs w:val="28"/>
    </w:rPr>
  </w:style>
  <w:style w:type="paragraph" w:customStyle="1" w:styleId="82">
    <w:name w:val="样式 小四 行距: 1.5 倍行距 首行缩进:  2 字符"/>
    <w:basedOn w:val="1"/>
    <w:qFormat/>
    <w:uiPriority w:val="99"/>
    <w:pPr>
      <w:spacing w:line="360" w:lineRule="auto"/>
      <w:ind w:firstLine="480" w:firstLineChars="200"/>
    </w:pPr>
    <w:rPr>
      <w:rFonts w:cs="宋体"/>
      <w:sz w:val="24"/>
      <w:szCs w:val="20"/>
    </w:rPr>
  </w:style>
  <w:style w:type="paragraph" w:customStyle="1" w:styleId="83">
    <w:name w:val="xl54"/>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84">
    <w:name w:val="样式 样式 宋体 四号 行距: 最小值 12 磅 首行缩进:  1.92 字符 + 首行缩进:  1.92 字符"/>
    <w:basedOn w:val="1"/>
    <w:qFormat/>
    <w:uiPriority w:val="99"/>
    <w:pPr>
      <w:spacing w:line="360" w:lineRule="auto"/>
    </w:pPr>
    <w:rPr>
      <w:rFonts w:ascii="宋体" w:hAnsi="宋体"/>
      <w:sz w:val="24"/>
      <w:szCs w:val="20"/>
    </w:rPr>
  </w:style>
  <w:style w:type="paragraph" w:customStyle="1" w:styleId="8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6">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4"/>
    </w:rPr>
  </w:style>
  <w:style w:type="paragraph" w:customStyle="1" w:styleId="87">
    <w:name w:val="pa-1"/>
    <w:basedOn w:val="1"/>
    <w:qFormat/>
    <w:uiPriority w:val="99"/>
    <w:pPr>
      <w:widowControl/>
      <w:spacing w:before="100" w:beforeAutospacing="1" w:after="100" w:afterAutospacing="1"/>
      <w:jc w:val="left"/>
    </w:pPr>
    <w:rPr>
      <w:rFonts w:ascii="宋体" w:hAnsi="宋体" w:cs="宋体"/>
      <w:kern w:val="0"/>
      <w:sz w:val="24"/>
    </w:rPr>
  </w:style>
  <w:style w:type="paragraph" w:customStyle="1" w:styleId="88">
    <w:name w:val="xl4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89">
    <w:name w:val="正文 A"/>
    <w:qFormat/>
    <w:uiPriority w:val="99"/>
    <w:pPr>
      <w:framePr w:wrap="around" w:vAnchor="margin" w:hAnchor="text" w:y="1"/>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90">
    <w:name w:val="标题4"/>
    <w:basedOn w:val="1"/>
    <w:qFormat/>
    <w:uiPriority w:val="99"/>
    <w:pPr>
      <w:widowControl/>
      <w:spacing w:line="720" w:lineRule="auto"/>
    </w:pPr>
    <w:rPr>
      <w:rFonts w:ascii="Arial Unicode MS" w:hAnsi="Arial Unicode MS" w:eastAsia="黑体"/>
      <w:sz w:val="24"/>
    </w:rPr>
  </w:style>
  <w:style w:type="paragraph" w:customStyle="1" w:styleId="91">
    <w:name w:val="一级条标题"/>
    <w:next w:val="1"/>
    <w:link w:val="171"/>
    <w:qFormat/>
    <w:uiPriority w:val="99"/>
    <w:pPr>
      <w:outlineLvl w:val="2"/>
    </w:pPr>
    <w:rPr>
      <w:rFonts w:ascii="Times New Roman" w:hAnsi="Times New Roman" w:eastAsia="黑体" w:cs="Times New Roman"/>
      <w:sz w:val="21"/>
      <w:lang w:val="en-US" w:eastAsia="zh-CN" w:bidi="ar-SA"/>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32"/>
      <w:szCs w:val="32"/>
    </w:rPr>
  </w:style>
  <w:style w:type="paragraph" w:customStyle="1" w:styleId="93">
    <w:name w:val="模板正文缩进"/>
    <w:basedOn w:val="1"/>
    <w:qFormat/>
    <w:uiPriority w:val="99"/>
    <w:pPr>
      <w:spacing w:before="93" w:after="93" w:line="360" w:lineRule="auto"/>
    </w:pPr>
    <w:rPr>
      <w:rFonts w:ascii="宋体" w:hAnsi="宋体"/>
      <w:kern w:val="0"/>
      <w:sz w:val="24"/>
      <w:szCs w:val="20"/>
    </w:rPr>
  </w:style>
  <w:style w:type="paragraph" w:customStyle="1" w:styleId="94">
    <w:name w:val="xl27"/>
    <w:basedOn w:val="1"/>
    <w:qFormat/>
    <w:uiPriority w:val="99"/>
    <w:pPr>
      <w:widowControl/>
      <w:pBdr>
        <w:top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95">
    <w:name w:val="正文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Char2"/>
    <w:basedOn w:val="1"/>
    <w:qFormat/>
    <w:uiPriority w:val="99"/>
    <w:pPr>
      <w:tabs>
        <w:tab w:val="left" w:pos="425"/>
      </w:tabs>
      <w:ind w:left="425" w:hanging="425"/>
    </w:pPr>
    <w:rPr>
      <w:sz w:val="24"/>
    </w:rPr>
  </w:style>
  <w:style w:type="paragraph" w:customStyle="1" w:styleId="97">
    <w:name w:val="xl50"/>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98">
    <w:name w:val="xl41"/>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9">
    <w:name w:val="xl48"/>
    <w:basedOn w:val="1"/>
    <w:qFormat/>
    <w:uiPriority w:val="99"/>
    <w:pPr>
      <w:widowControl/>
      <w:spacing w:before="100" w:beforeAutospacing="1" w:after="100" w:afterAutospacing="1"/>
      <w:jc w:val="left"/>
    </w:pPr>
    <w:rPr>
      <w:rFonts w:ascii="宋体" w:hAnsi="宋体"/>
      <w:kern w:val="0"/>
      <w:sz w:val="32"/>
      <w:szCs w:val="32"/>
    </w:rPr>
  </w:style>
  <w:style w:type="paragraph" w:customStyle="1" w:styleId="100">
    <w:name w:val="xl5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pic-info"/>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2">
    <w:name w:val="xl43"/>
    <w:basedOn w:val="1"/>
    <w:qFormat/>
    <w:uiPriority w:val="99"/>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03">
    <w:name w:val="xl33"/>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4">
    <w:name w:val="正文_1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06">
    <w:name w:val="xl5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7">
    <w:name w:val="HTML 预设格式_0"/>
    <w:basedOn w:val="95"/>
    <w:link w:val="182"/>
    <w:qFormat/>
    <w:uiPriority w:val="99"/>
    <w:rPr>
      <w:rFonts w:ascii="黑体" w:hAnsi="Courier New" w:eastAsia="黑体"/>
      <w:szCs w:val="20"/>
    </w:rPr>
  </w:style>
  <w:style w:type="paragraph" w:customStyle="1" w:styleId="108">
    <w:name w:val="xl57"/>
    <w:basedOn w:val="1"/>
    <w:qFormat/>
    <w:uiPriority w:val="99"/>
    <w:pPr>
      <w:widowControl/>
      <w:pBdr>
        <w:top w:val="single" w:color="auto" w:sz="4" w:space="0"/>
        <w:left w:val="single" w:color="auto" w:sz="4" w:space="0"/>
        <w:bottom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109">
    <w:name w:val="xl31"/>
    <w:basedOn w:val="1"/>
    <w:qFormat/>
    <w:uiPriority w:val="99"/>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110">
    <w:name w:val="正文文字1"/>
    <w:basedOn w:val="1"/>
    <w:qFormat/>
    <w:uiPriority w:val="99"/>
    <w:pPr>
      <w:adjustRightInd w:val="0"/>
      <w:snapToGrid w:val="0"/>
      <w:spacing w:line="360" w:lineRule="auto"/>
      <w:ind w:left="100" w:leftChars="100" w:firstLine="200" w:firstLineChars="200"/>
    </w:pPr>
    <w:rPr>
      <w:sz w:val="24"/>
    </w:rPr>
  </w:style>
  <w:style w:type="paragraph" w:customStyle="1" w:styleId="111">
    <w:name w:val="Char Char Char"/>
    <w:basedOn w:val="1"/>
    <w:qFormat/>
    <w:uiPriority w:val="99"/>
    <w:rPr>
      <w:rFonts w:ascii="Tahoma" w:hAnsi="Tahoma"/>
      <w:sz w:val="24"/>
      <w:szCs w:val="20"/>
    </w:rPr>
  </w:style>
  <w:style w:type="paragraph" w:customStyle="1" w:styleId="112">
    <w:name w:val="xl63"/>
    <w:basedOn w:val="1"/>
    <w:qFormat/>
    <w:uiPriority w:val="99"/>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13">
    <w:name w:val="图表标题"/>
    <w:basedOn w:val="1"/>
    <w:qFormat/>
    <w:uiPriority w:val="99"/>
    <w:pPr>
      <w:autoSpaceDE w:val="0"/>
      <w:autoSpaceDN w:val="0"/>
      <w:adjustRightInd w:val="0"/>
      <w:snapToGrid w:val="0"/>
      <w:spacing w:before="80" w:after="40" w:line="288" w:lineRule="auto"/>
      <w:jc w:val="center"/>
    </w:pPr>
    <w:rPr>
      <w:spacing w:val="10"/>
      <w:kern w:val="0"/>
      <w:sz w:val="24"/>
      <w:szCs w:val="20"/>
    </w:rPr>
  </w:style>
  <w:style w:type="paragraph" w:customStyle="1" w:styleId="114">
    <w:name w:val="xl64"/>
    <w:basedOn w:val="1"/>
    <w:qFormat/>
    <w:uiPriority w:val="99"/>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15">
    <w:name w:val="xl5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6">
    <w:name w:val="xl40"/>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7">
    <w:name w:val="Char3"/>
    <w:basedOn w:val="1"/>
    <w:qFormat/>
    <w:uiPriority w:val="99"/>
    <w:rPr>
      <w:szCs w:val="20"/>
    </w:rPr>
  </w:style>
  <w:style w:type="paragraph" w:customStyle="1" w:styleId="118">
    <w:name w:val="font6"/>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19">
    <w:name w:val="xl34"/>
    <w:basedOn w:val="1"/>
    <w:qFormat/>
    <w:uiPriority w:val="99"/>
    <w:pPr>
      <w:widowControl/>
      <w:shd w:val="clear" w:color="auto" w:fill="00FFFF"/>
      <w:spacing w:before="100" w:beforeAutospacing="1" w:after="100" w:afterAutospacing="1"/>
      <w:jc w:val="left"/>
    </w:pPr>
    <w:rPr>
      <w:rFonts w:ascii="宋体" w:hAnsi="宋体"/>
      <w:kern w:val="0"/>
      <w:sz w:val="24"/>
    </w:rPr>
  </w:style>
  <w:style w:type="paragraph" w:customStyle="1" w:styleId="120">
    <w:name w:val="font8"/>
    <w:basedOn w:val="1"/>
    <w:qFormat/>
    <w:uiPriority w:val="99"/>
    <w:pPr>
      <w:widowControl/>
      <w:spacing w:before="100" w:beforeAutospacing="1" w:after="100" w:afterAutospacing="1"/>
      <w:jc w:val="left"/>
    </w:pPr>
    <w:rPr>
      <w:rFonts w:ascii="宋体" w:hAnsi="宋体"/>
      <w:kern w:val="0"/>
      <w:sz w:val="32"/>
      <w:szCs w:val="32"/>
    </w:rPr>
  </w:style>
  <w:style w:type="paragraph" w:customStyle="1" w:styleId="121">
    <w:name w:val="xl45"/>
    <w:basedOn w:val="1"/>
    <w:qFormat/>
    <w:uiPriority w:val="99"/>
    <w:pPr>
      <w:widowControl/>
      <w:spacing w:before="100" w:beforeAutospacing="1" w:after="100" w:afterAutospacing="1"/>
      <w:jc w:val="center"/>
      <w:textAlignment w:val="center"/>
    </w:pPr>
    <w:rPr>
      <w:rFonts w:ascii="宋体" w:hAnsi="宋体"/>
      <w:kern w:val="0"/>
      <w:sz w:val="44"/>
      <w:szCs w:val="44"/>
    </w:rPr>
  </w:style>
  <w:style w:type="paragraph" w:customStyle="1" w:styleId="122">
    <w:name w:val="标书正文"/>
    <w:basedOn w:val="16"/>
    <w:qFormat/>
    <w:uiPriority w:val="99"/>
    <w:pPr>
      <w:autoSpaceDE/>
      <w:autoSpaceDN/>
      <w:adjustRightInd/>
      <w:spacing w:after="120"/>
    </w:pPr>
    <w:rPr>
      <w:b w:val="0"/>
      <w:bCs w:val="0"/>
      <w:color w:val="auto"/>
      <w:szCs w:val="24"/>
      <w:lang w:val="en-US"/>
    </w:rPr>
  </w:style>
  <w:style w:type="paragraph" w:customStyle="1" w:styleId="123">
    <w:name w:val="xl5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124">
    <w:name w:val="font9"/>
    <w:basedOn w:val="1"/>
    <w:qFormat/>
    <w:uiPriority w:val="99"/>
    <w:pPr>
      <w:widowControl/>
      <w:spacing w:before="100" w:beforeAutospacing="1" w:after="100" w:afterAutospacing="1"/>
      <w:jc w:val="left"/>
    </w:pPr>
    <w:rPr>
      <w:kern w:val="0"/>
      <w:sz w:val="32"/>
      <w:szCs w:val="32"/>
    </w:rPr>
  </w:style>
  <w:style w:type="paragraph" w:customStyle="1" w:styleId="12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26">
    <w:name w:val="ad"/>
    <w:basedOn w:val="1"/>
    <w:qFormat/>
    <w:uiPriority w:val="99"/>
    <w:pPr>
      <w:widowControl/>
      <w:spacing w:before="100" w:beforeAutospacing="1" w:after="100" w:afterAutospacing="1"/>
      <w:jc w:val="left"/>
    </w:pPr>
    <w:rPr>
      <w:rFonts w:ascii="宋体" w:hAnsi="宋体"/>
      <w:kern w:val="0"/>
      <w:sz w:val="24"/>
    </w:rPr>
  </w:style>
  <w:style w:type="paragraph" w:customStyle="1" w:styleId="127">
    <w:name w:val="font1"/>
    <w:basedOn w:val="1"/>
    <w:qFormat/>
    <w:uiPriority w:val="99"/>
    <w:pPr>
      <w:widowControl/>
      <w:spacing w:before="100" w:beforeAutospacing="1" w:after="100" w:afterAutospacing="1"/>
      <w:jc w:val="left"/>
    </w:pPr>
    <w:rPr>
      <w:rFonts w:ascii="宋体" w:hAnsi="宋体"/>
      <w:kern w:val="0"/>
      <w:sz w:val="24"/>
    </w:rPr>
  </w:style>
  <w:style w:type="paragraph" w:customStyle="1" w:styleId="128">
    <w:name w:val="xl47"/>
    <w:basedOn w:val="1"/>
    <w:qFormat/>
    <w:uiPriority w:val="99"/>
    <w:pPr>
      <w:widowControl/>
      <w:spacing w:before="100" w:beforeAutospacing="1" w:after="100" w:afterAutospacing="1"/>
      <w:jc w:val="left"/>
    </w:pPr>
    <w:rPr>
      <w:rFonts w:ascii="黑体" w:hAnsi="宋体" w:eastAsia="黑体"/>
      <w:kern w:val="0"/>
      <w:sz w:val="32"/>
      <w:szCs w:val="32"/>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font0"/>
    <w:basedOn w:val="1"/>
    <w:qFormat/>
    <w:uiPriority w:val="99"/>
    <w:pPr>
      <w:widowControl/>
      <w:spacing w:before="100" w:beforeAutospacing="1" w:after="100" w:afterAutospacing="1"/>
      <w:jc w:val="left"/>
    </w:pPr>
    <w:rPr>
      <w:rFonts w:ascii="宋体" w:hAnsi="宋体"/>
      <w:kern w:val="0"/>
      <w:sz w:val="24"/>
    </w:rPr>
  </w:style>
  <w:style w:type="paragraph" w:customStyle="1" w:styleId="131">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32">
    <w:name w:val="xl66"/>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kern w:val="0"/>
      <w:sz w:val="32"/>
      <w:szCs w:val="32"/>
    </w:rPr>
  </w:style>
  <w:style w:type="paragraph" w:customStyle="1" w:styleId="133">
    <w:name w:val="我的正文文本"/>
    <w:basedOn w:val="1"/>
    <w:qFormat/>
    <w:uiPriority w:val="99"/>
    <w:pPr>
      <w:ind w:firstLine="567"/>
    </w:pPr>
    <w:rPr>
      <w:rFonts w:ascii="宋体"/>
      <w:kern w:val="0"/>
    </w:rPr>
  </w:style>
  <w:style w:type="paragraph" w:customStyle="1" w:styleId="134">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35">
    <w:name w:val="xl29"/>
    <w:basedOn w:val="1"/>
    <w:qFormat/>
    <w:uiPriority w:val="99"/>
    <w:pPr>
      <w:widowControl/>
      <w:pBdr>
        <w:top w:val="single" w:color="auto" w:sz="4" w:space="0"/>
        <w:left w:val="single" w:color="auto" w:sz="4" w:space="0"/>
        <w:bottom w:val="single" w:color="auto" w:sz="4" w:space="0"/>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36">
    <w:name w:val="p10"/>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137">
    <w:name w:val="普通 (Web)"/>
    <w:basedOn w:val="1"/>
    <w:qFormat/>
    <w:uiPriority w:val="99"/>
    <w:pPr>
      <w:widowControl/>
      <w:spacing w:before="100" w:after="100"/>
      <w:jc w:val="left"/>
    </w:pPr>
    <w:rPr>
      <w:rFonts w:ascii="宋体" w:hAnsi="宋体"/>
      <w:kern w:val="0"/>
      <w:sz w:val="24"/>
      <w:szCs w:val="20"/>
    </w:rPr>
  </w:style>
  <w:style w:type="paragraph" w:customStyle="1" w:styleId="138">
    <w:name w:val="xl2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39">
    <w:name w:val="xl35"/>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0">
    <w:name w:val="Char31"/>
    <w:basedOn w:val="1"/>
    <w:qFormat/>
    <w:uiPriority w:val="99"/>
    <w:rPr>
      <w:szCs w:val="20"/>
    </w:rPr>
  </w:style>
  <w:style w:type="paragraph" w:customStyle="1" w:styleId="141">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42">
    <w:name w:val="xl46"/>
    <w:basedOn w:val="1"/>
    <w:qFormat/>
    <w:uiPriority w:val="99"/>
    <w:pPr>
      <w:widowControl/>
      <w:pBdr>
        <w:bottom w:val="single" w:color="auto" w:sz="4" w:space="0"/>
      </w:pBdr>
      <w:spacing w:before="100" w:beforeAutospacing="1" w:after="100" w:afterAutospacing="1"/>
      <w:jc w:val="center"/>
      <w:textAlignment w:val="center"/>
    </w:pPr>
    <w:rPr>
      <w:rFonts w:ascii="宋体" w:hAnsi="宋体"/>
      <w:kern w:val="0"/>
      <w:sz w:val="44"/>
      <w:szCs w:val="44"/>
    </w:rPr>
  </w:style>
  <w:style w:type="paragraph" w:customStyle="1" w:styleId="143">
    <w:name w:val="xl61"/>
    <w:basedOn w:val="1"/>
    <w:qFormat/>
    <w:uiPriority w:val="99"/>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144">
    <w:name w:val="xl30"/>
    <w:basedOn w:val="1"/>
    <w:qFormat/>
    <w:uiPriority w:val="99"/>
    <w:pPr>
      <w:widowControl/>
      <w:pBdr>
        <w:top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145">
    <w:name w:val="xl32"/>
    <w:basedOn w:val="1"/>
    <w:qFormat/>
    <w:uiPriority w:val="99"/>
    <w:pPr>
      <w:widowControl/>
      <w:pBdr>
        <w:left w:val="single" w:color="auto" w:sz="4" w:space="0"/>
        <w:bottom w:val="single" w:color="auto" w:sz="4" w:space="0"/>
      </w:pBdr>
      <w:spacing w:before="100" w:after="100"/>
      <w:jc w:val="center"/>
    </w:pPr>
    <w:rPr>
      <w:rFonts w:ascii="宋体" w:hAnsi="宋体"/>
      <w:b/>
      <w:kern w:val="0"/>
      <w:sz w:val="24"/>
    </w:rPr>
  </w:style>
  <w:style w:type="paragraph" w:customStyle="1" w:styleId="146">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47">
    <w:name w:val="Char Char"/>
    <w:basedOn w:val="1"/>
    <w:qFormat/>
    <w:uiPriority w:val="99"/>
    <w:rPr>
      <w:sz w:val="24"/>
      <w:szCs w:val="20"/>
    </w:rPr>
  </w:style>
  <w:style w:type="paragraph" w:customStyle="1" w:styleId="14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149">
    <w:name w:val="Char Char Char Char1"/>
    <w:basedOn w:val="1"/>
    <w:qFormat/>
    <w:uiPriority w:val="99"/>
    <w:pPr>
      <w:widowControl/>
      <w:spacing w:after="160" w:line="240" w:lineRule="exact"/>
      <w:jc w:val="left"/>
    </w:pPr>
    <w:rPr>
      <w:rFonts w:ascii="Verdana" w:hAnsi="Verdana"/>
      <w:kern w:val="0"/>
      <w:sz w:val="20"/>
      <w:szCs w:val="20"/>
      <w:lang w:eastAsia="en-US"/>
    </w:rPr>
  </w:style>
  <w:style w:type="paragraph" w:styleId="150">
    <w:name w:val="List Paragraph"/>
    <w:basedOn w:val="1"/>
    <w:next w:val="1"/>
    <w:qFormat/>
    <w:uiPriority w:val="99"/>
    <w:pPr>
      <w:ind w:firstLine="420" w:firstLineChars="200"/>
    </w:pPr>
  </w:style>
  <w:style w:type="paragraph" w:customStyle="1" w:styleId="151">
    <w:name w:val="Char"/>
    <w:basedOn w:val="1"/>
    <w:qFormat/>
    <w:uiPriority w:val="99"/>
    <w:pPr>
      <w:tabs>
        <w:tab w:val="left" w:pos="360"/>
      </w:tabs>
    </w:pPr>
    <w:rPr>
      <w:sz w:val="24"/>
    </w:rPr>
  </w:style>
  <w:style w:type="paragraph" w:customStyle="1" w:styleId="152">
    <w:name w:val="font11"/>
    <w:basedOn w:val="1"/>
    <w:qFormat/>
    <w:uiPriority w:val="99"/>
    <w:pPr>
      <w:widowControl/>
      <w:spacing w:before="100" w:beforeAutospacing="1" w:after="100" w:afterAutospacing="1"/>
      <w:jc w:val="left"/>
    </w:pPr>
    <w:rPr>
      <w:color w:val="FF0000"/>
      <w:kern w:val="0"/>
      <w:sz w:val="28"/>
      <w:szCs w:val="28"/>
    </w:rPr>
  </w:style>
  <w:style w:type="paragraph" w:customStyle="1" w:styleId="153">
    <w:name w:val="xl58"/>
    <w:basedOn w:val="1"/>
    <w:qFormat/>
    <w:uiPriority w:val="99"/>
    <w:pPr>
      <w:widowControl/>
      <w:pBdr>
        <w:top w:val="single" w:color="auto" w:sz="4" w:space="0"/>
        <w:bottom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154">
    <w:name w:val="font10"/>
    <w:basedOn w:val="1"/>
    <w:qFormat/>
    <w:uiPriority w:val="99"/>
    <w:pPr>
      <w:widowControl/>
      <w:spacing w:before="100" w:beforeAutospacing="1" w:after="100" w:afterAutospacing="1"/>
      <w:jc w:val="left"/>
    </w:pPr>
    <w:rPr>
      <w:rFonts w:ascii="宋体" w:hAnsi="宋体"/>
      <w:color w:val="FF0000"/>
      <w:kern w:val="0"/>
      <w:sz w:val="28"/>
      <w:szCs w:val="28"/>
    </w:rPr>
  </w:style>
  <w:style w:type="paragraph" w:customStyle="1" w:styleId="155">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56">
    <w:name w:val="段"/>
    <w:link w:val="190"/>
    <w:qFormat/>
    <w:uiPriority w:val="99"/>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paragraph" w:customStyle="1" w:styleId="157">
    <w:name w:val="xl62"/>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58">
    <w:name w:val="二级条标题"/>
    <w:basedOn w:val="1"/>
    <w:next w:val="1"/>
    <w:qFormat/>
    <w:uiPriority w:val="99"/>
    <w:pPr>
      <w:widowControl/>
      <w:jc w:val="left"/>
      <w:outlineLvl w:val="3"/>
    </w:pPr>
    <w:rPr>
      <w:rFonts w:eastAsia="黑体"/>
      <w:kern w:val="0"/>
      <w:szCs w:val="20"/>
    </w:rPr>
  </w:style>
  <w:style w:type="paragraph" w:customStyle="1" w:styleId="159">
    <w:name w:val="正文_1_0"/>
    <w:link w:val="187"/>
    <w:qFormat/>
    <w:uiPriority w:val="99"/>
    <w:pPr>
      <w:widowControl w:val="0"/>
      <w:jc w:val="both"/>
    </w:pPr>
    <w:rPr>
      <w:rFonts w:ascii="Times New Roman" w:hAnsi="Times New Roman" w:eastAsia="宋体" w:cs="Times New Roman"/>
      <w:kern w:val="2"/>
      <w:sz w:val="24"/>
      <w:szCs w:val="22"/>
      <w:lang w:val="en-US" w:eastAsia="zh-CN" w:bidi="ar-SA"/>
    </w:rPr>
  </w:style>
  <w:style w:type="paragraph" w:customStyle="1" w:styleId="160">
    <w:name w:val="font7"/>
    <w:basedOn w:val="1"/>
    <w:qFormat/>
    <w:uiPriority w:val="99"/>
    <w:pPr>
      <w:widowControl/>
      <w:spacing w:before="100" w:beforeAutospacing="1" w:after="100" w:afterAutospacing="1"/>
      <w:jc w:val="left"/>
    </w:pPr>
    <w:rPr>
      <w:kern w:val="0"/>
      <w:sz w:val="28"/>
      <w:szCs w:val="28"/>
    </w:rPr>
  </w:style>
  <w:style w:type="paragraph" w:customStyle="1" w:styleId="161">
    <w:name w:val="正文_1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xl59"/>
    <w:basedOn w:val="1"/>
    <w:qFormat/>
    <w:uiPriority w:val="99"/>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163">
    <w:name w:val="xl6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164">
    <w:name w:val="xl26"/>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65">
    <w:name w:val="标题 4_0"/>
    <w:basedOn w:val="95"/>
    <w:next w:val="95"/>
    <w:qFormat/>
    <w:uiPriority w:val="99"/>
    <w:pPr>
      <w:keepNext/>
      <w:keepLines/>
      <w:spacing w:before="280" w:after="290" w:line="376" w:lineRule="auto"/>
      <w:outlineLvl w:val="3"/>
    </w:pPr>
    <w:rPr>
      <w:rFonts w:ascii="Cambria" w:hAnsi="Cambria"/>
      <w:b/>
      <w:bCs/>
      <w:kern w:val="0"/>
      <w:sz w:val="28"/>
      <w:szCs w:val="28"/>
    </w:rPr>
  </w:style>
  <w:style w:type="paragraph" w:customStyle="1" w:styleId="166">
    <w:name w:val="带符号正文（缩进）"/>
    <w:qFormat/>
    <w:uiPriority w:val="99"/>
    <w:pPr>
      <w:tabs>
        <w:tab w:val="left" w:pos="595"/>
      </w:tabs>
      <w:spacing w:before="100" w:beforeAutospacing="1" w:after="100" w:afterAutospacing="1" w:line="360" w:lineRule="auto"/>
      <w:ind w:left="849" w:leftChars="200" w:hanging="369"/>
    </w:pPr>
    <w:rPr>
      <w:rFonts w:ascii="Times New Roman" w:hAnsi="Times New Roman" w:eastAsia="宋体" w:cs="Times New Roman"/>
      <w:sz w:val="24"/>
      <w:lang w:val="en-US" w:eastAsia="zh-CN" w:bidi="ar-SA"/>
    </w:rPr>
  </w:style>
  <w:style w:type="character" w:customStyle="1" w:styleId="167">
    <w:name w:val="纯文本 Char"/>
    <w:qFormat/>
    <w:uiPriority w:val="99"/>
    <w:rPr>
      <w:rFonts w:ascii="宋体" w:hAnsi="Courier New" w:eastAsia="宋体"/>
      <w:kern w:val="2"/>
      <w:sz w:val="21"/>
      <w:lang w:val="en-US" w:eastAsia="zh-CN"/>
    </w:rPr>
  </w:style>
  <w:style w:type="character" w:customStyle="1" w:styleId="168">
    <w:name w:val="fontstyle01"/>
    <w:basedOn w:val="42"/>
    <w:qFormat/>
    <w:uiPriority w:val="99"/>
    <w:rPr>
      <w:rFonts w:ascii="MicrosoftYaHeiLight" w:hAnsi="MicrosoftYaHeiLight" w:cs="Times New Roman"/>
      <w:color w:val="FFFFFF"/>
      <w:sz w:val="28"/>
      <w:szCs w:val="28"/>
    </w:rPr>
  </w:style>
  <w:style w:type="character" w:customStyle="1" w:styleId="169">
    <w:name w:val="f1"/>
    <w:basedOn w:val="42"/>
    <w:qFormat/>
    <w:uiPriority w:val="99"/>
    <w:rPr>
      <w:rFonts w:cs="Times New Roman"/>
    </w:rPr>
  </w:style>
  <w:style w:type="character" w:customStyle="1" w:styleId="170">
    <w:name w:val="Char Char14"/>
    <w:qFormat/>
    <w:locked/>
    <w:uiPriority w:val="99"/>
    <w:rPr>
      <w:rFonts w:eastAsia="宋体"/>
      <w:kern w:val="2"/>
      <w:sz w:val="24"/>
      <w:lang w:val="en-US" w:eastAsia="zh-CN"/>
    </w:rPr>
  </w:style>
  <w:style w:type="character" w:customStyle="1" w:styleId="171">
    <w:name w:val="一级条标题 Char"/>
    <w:basedOn w:val="42"/>
    <w:link w:val="91"/>
    <w:qFormat/>
    <w:locked/>
    <w:uiPriority w:val="99"/>
    <w:rPr>
      <w:rFonts w:eastAsia="黑体"/>
      <w:sz w:val="21"/>
      <w:lang w:val="en-US" w:eastAsia="zh-CN" w:bidi="ar-SA"/>
    </w:rPr>
  </w:style>
  <w:style w:type="character" w:customStyle="1" w:styleId="172">
    <w:name w:val="hui"/>
    <w:basedOn w:val="42"/>
    <w:qFormat/>
    <w:uiPriority w:val="99"/>
    <w:rPr>
      <w:rFonts w:cs="Times New Roman"/>
    </w:rPr>
  </w:style>
  <w:style w:type="character" w:customStyle="1" w:styleId="173">
    <w:name w:val="样式 样式 黑体 二号 + 小三 加粗"/>
    <w:basedOn w:val="174"/>
    <w:qFormat/>
    <w:uiPriority w:val="99"/>
    <w:rPr>
      <w:bCs/>
      <w:sz w:val="30"/>
    </w:rPr>
  </w:style>
  <w:style w:type="character" w:customStyle="1" w:styleId="174">
    <w:name w:val="样式 黑体 二号"/>
    <w:basedOn w:val="42"/>
    <w:qFormat/>
    <w:uiPriority w:val="99"/>
    <w:rPr>
      <w:rFonts w:ascii="Arial" w:hAnsi="Arial" w:eastAsia="黑体" w:cs="Times New Roman"/>
      <w:sz w:val="44"/>
    </w:rPr>
  </w:style>
  <w:style w:type="character" w:customStyle="1" w:styleId="175">
    <w:name w:val="日期 Char"/>
    <w:qFormat/>
    <w:uiPriority w:val="99"/>
    <w:rPr>
      <w:rFonts w:eastAsia="宋体"/>
      <w:sz w:val="32"/>
      <w:lang w:val="en-US" w:eastAsia="zh-CN"/>
    </w:rPr>
  </w:style>
  <w:style w:type="character" w:customStyle="1" w:styleId="176">
    <w:name w:val="正文文本缩进 Char"/>
    <w:qFormat/>
    <w:uiPriority w:val="99"/>
    <w:rPr>
      <w:rFonts w:ascii="宋体" w:hAnsi="宋体" w:eastAsia="宋体"/>
      <w:kern w:val="2"/>
      <w:sz w:val="24"/>
      <w:lang w:val="en-US" w:eastAsia="zh-CN"/>
    </w:rPr>
  </w:style>
  <w:style w:type="character" w:customStyle="1" w:styleId="177">
    <w:name w:val="grame"/>
    <w:basedOn w:val="42"/>
    <w:qFormat/>
    <w:uiPriority w:val="99"/>
    <w:rPr>
      <w:rFonts w:cs="Times New Roman"/>
    </w:rPr>
  </w:style>
  <w:style w:type="character" w:customStyle="1" w:styleId="178">
    <w:name w:val="ca-02"/>
    <w:basedOn w:val="42"/>
    <w:qFormat/>
    <w:uiPriority w:val="99"/>
    <w:rPr>
      <w:rFonts w:cs="Times New Roman"/>
    </w:rPr>
  </w:style>
  <w:style w:type="character" w:customStyle="1" w:styleId="179">
    <w:name w:val="apple-converted-space"/>
    <w:basedOn w:val="42"/>
    <w:qFormat/>
    <w:uiPriority w:val="99"/>
    <w:rPr>
      <w:rFonts w:cs="Times New Roman"/>
    </w:rPr>
  </w:style>
  <w:style w:type="character" w:customStyle="1" w:styleId="180">
    <w:name w:val="正文缩进 Char"/>
    <w:basedOn w:val="42"/>
    <w:link w:val="13"/>
    <w:qFormat/>
    <w:locked/>
    <w:uiPriority w:val="99"/>
    <w:rPr>
      <w:rFonts w:eastAsia="宋体" w:cs="Times New Roman"/>
      <w:kern w:val="2"/>
      <w:sz w:val="24"/>
      <w:lang w:val="en-US" w:eastAsia="zh-CN" w:bidi="ar-SA"/>
    </w:rPr>
  </w:style>
  <w:style w:type="character" w:customStyle="1" w:styleId="181">
    <w:name w:val="huei12b1"/>
    <w:basedOn w:val="42"/>
    <w:qFormat/>
    <w:uiPriority w:val="99"/>
    <w:rPr>
      <w:rFonts w:cs="Times New Roman"/>
      <w:b/>
      <w:bCs/>
      <w:color w:val="333333"/>
      <w:sz w:val="18"/>
      <w:szCs w:val="18"/>
    </w:rPr>
  </w:style>
  <w:style w:type="character" w:customStyle="1" w:styleId="182">
    <w:name w:val="HTML 预设格式 Char"/>
    <w:link w:val="107"/>
    <w:qFormat/>
    <w:locked/>
    <w:uiPriority w:val="99"/>
    <w:rPr>
      <w:rFonts w:ascii="黑体" w:hAnsi="Courier New" w:eastAsia="黑体"/>
      <w:kern w:val="2"/>
      <w:sz w:val="21"/>
    </w:rPr>
  </w:style>
  <w:style w:type="character" w:customStyle="1" w:styleId="183">
    <w:name w:val="defaultfont1"/>
    <w:basedOn w:val="42"/>
    <w:qFormat/>
    <w:uiPriority w:val="99"/>
    <w:rPr>
      <w:rFonts w:cs="Times New Roman"/>
    </w:rPr>
  </w:style>
  <w:style w:type="character" w:customStyle="1" w:styleId="184">
    <w:name w:val="headline-content2"/>
    <w:basedOn w:val="42"/>
    <w:qFormat/>
    <w:uiPriority w:val="99"/>
    <w:rPr>
      <w:rFonts w:cs="Times New Roman"/>
    </w:rPr>
  </w:style>
  <w:style w:type="character" w:customStyle="1" w:styleId="185">
    <w:name w:val="p12"/>
    <w:basedOn w:val="42"/>
    <w:qFormat/>
    <w:uiPriority w:val="99"/>
    <w:rPr>
      <w:rFonts w:cs="Times New Roman"/>
    </w:rPr>
  </w:style>
  <w:style w:type="character" w:customStyle="1" w:styleId="186">
    <w:name w:val="普通文字1 Char1"/>
    <w:qFormat/>
    <w:uiPriority w:val="99"/>
    <w:rPr>
      <w:rFonts w:ascii="宋体" w:hAnsi="Courier New" w:eastAsia="宋体"/>
      <w:kern w:val="2"/>
      <w:sz w:val="21"/>
      <w:lang w:val="en-US" w:eastAsia="zh-CN"/>
    </w:rPr>
  </w:style>
  <w:style w:type="character" w:customStyle="1" w:styleId="187">
    <w:name w:val="正文_1_0 Char"/>
    <w:link w:val="159"/>
    <w:qFormat/>
    <w:locked/>
    <w:uiPriority w:val="99"/>
    <w:rPr>
      <w:kern w:val="2"/>
      <w:sz w:val="24"/>
      <w:szCs w:val="22"/>
      <w:lang w:val="en-US" w:eastAsia="zh-CN" w:bidi="ar-SA"/>
    </w:rPr>
  </w:style>
  <w:style w:type="character" w:customStyle="1" w:styleId="188">
    <w:name w:val="param-name"/>
    <w:basedOn w:val="42"/>
    <w:qFormat/>
    <w:uiPriority w:val="99"/>
    <w:rPr>
      <w:rFonts w:cs="Times New Roman"/>
    </w:rPr>
  </w:style>
  <w:style w:type="character" w:customStyle="1" w:styleId="189">
    <w:name w:val="paramname3"/>
    <w:basedOn w:val="42"/>
    <w:qFormat/>
    <w:uiPriority w:val="99"/>
    <w:rPr>
      <w:rFonts w:cs="Times New Roman"/>
    </w:rPr>
  </w:style>
  <w:style w:type="character" w:customStyle="1" w:styleId="190">
    <w:name w:val="段 Char Char Char"/>
    <w:link w:val="156"/>
    <w:qFormat/>
    <w:locked/>
    <w:uiPriority w:val="99"/>
    <w:rPr>
      <w:rFonts w:ascii="宋体" w:eastAsia="Times New Roman"/>
      <w:kern w:val="2"/>
      <w:sz w:val="21"/>
      <w:szCs w:val="22"/>
      <w:lang w:val="en-US" w:eastAsia="zh-CN" w:bidi="ar-SA"/>
    </w:rPr>
  </w:style>
  <w:style w:type="character" w:customStyle="1" w:styleId="191">
    <w:name w:val="fontstyle11"/>
    <w:basedOn w:val="42"/>
    <w:qFormat/>
    <w:uiPriority w:val="99"/>
    <w:rPr>
      <w:rFonts w:ascii="HPSimplified-Regular" w:hAnsi="HPSimplified-Regular" w:cs="Times New Roman"/>
      <w:color w:val="FFFFFF"/>
      <w:sz w:val="28"/>
      <w:szCs w:val="28"/>
    </w:rPr>
  </w:style>
  <w:style w:type="character" w:customStyle="1" w:styleId="192">
    <w:name w:val="3 Char"/>
    <w:basedOn w:val="42"/>
    <w:qFormat/>
    <w:uiPriority w:val="99"/>
    <w:rPr>
      <w:rFonts w:eastAsia="宋体" w:cs="Times New Roman"/>
      <w:b/>
      <w:bCs/>
      <w:kern w:val="2"/>
      <w:sz w:val="32"/>
      <w:szCs w:val="32"/>
      <w:lang w:val="en-US" w:eastAsia="zh-CN" w:bidi="ar-SA"/>
    </w:rPr>
  </w:style>
  <w:style w:type="paragraph" w:customStyle="1" w:styleId="193">
    <w:name w:val="_Style 4"/>
    <w:basedOn w:val="1"/>
    <w:qFormat/>
    <w:uiPriority w:val="99"/>
    <w:pPr>
      <w:ind w:firstLine="420" w:firstLineChars="200"/>
    </w:pPr>
  </w:style>
  <w:style w:type="character" w:customStyle="1" w:styleId="194">
    <w:name w:val="font31"/>
    <w:basedOn w:val="42"/>
    <w:qFormat/>
    <w:uiPriority w:val="99"/>
    <w:rPr>
      <w:rFonts w:ascii="华文仿宋" w:hAnsi="华文仿宋" w:eastAsia="华文仿宋" w:cs="华文仿宋"/>
      <w:color w:val="000000"/>
      <w:sz w:val="21"/>
      <w:szCs w:val="21"/>
      <w:u w:val="none"/>
    </w:rPr>
  </w:style>
  <w:style w:type="character" w:customStyle="1" w:styleId="195">
    <w:name w:val="font51"/>
    <w:basedOn w:val="42"/>
    <w:qFormat/>
    <w:uiPriority w:val="99"/>
    <w:rPr>
      <w:rFonts w:ascii="华文仿宋" w:hAnsi="华文仿宋" w:eastAsia="华文仿宋" w:cs="华文仿宋"/>
      <w:color w:val="000000"/>
      <w:sz w:val="21"/>
      <w:szCs w:val="21"/>
      <w:u w:val="none"/>
    </w:rPr>
  </w:style>
  <w:style w:type="character" w:customStyle="1" w:styleId="196">
    <w:name w:val="font41"/>
    <w:basedOn w:val="42"/>
    <w:qFormat/>
    <w:uiPriority w:val="99"/>
    <w:rPr>
      <w:rFonts w:ascii="华文仿宋" w:hAnsi="华文仿宋" w:eastAsia="华文仿宋" w:cs="华文仿宋"/>
      <w:b/>
      <w:color w:val="000000"/>
      <w:sz w:val="21"/>
      <w:szCs w:val="21"/>
      <w:u w:val="none"/>
    </w:rPr>
  </w:style>
  <w:style w:type="paragraph" w:customStyle="1" w:styleId="197">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WPSOffice手动目录 1"/>
    <w:qFormat/>
    <w:uiPriority w:val="0"/>
    <w:pPr>
      <w:ind w:leftChars="0"/>
    </w:pPr>
    <w:rPr>
      <w:rFonts w:ascii="Times New Roman" w:hAnsi="Times New Roman" w:eastAsia="宋体" w:cs="Times New Roman"/>
      <w:sz w:val="20"/>
      <w:szCs w:val="20"/>
    </w:rPr>
  </w:style>
  <w:style w:type="paragraph" w:customStyle="1" w:styleId="199">
    <w:name w:val="WPSOffice手动目录 2"/>
    <w:qFormat/>
    <w:uiPriority w:val="0"/>
    <w:pPr>
      <w:ind w:leftChars="200"/>
    </w:pPr>
    <w:rPr>
      <w:rFonts w:ascii="Times New Roman" w:hAnsi="Times New Roman" w:eastAsia="宋体" w:cs="Times New Roman"/>
      <w:sz w:val="20"/>
      <w:szCs w:val="20"/>
    </w:rPr>
  </w:style>
  <w:style w:type="paragraph" w:customStyle="1" w:styleId="200">
    <w:name w:val="Style1"/>
    <w:basedOn w:val="1"/>
    <w:qFormat/>
    <w:uiPriority w:val="0"/>
    <w:pPr>
      <w:widowControl/>
      <w:tabs>
        <w:tab w:val="left" w:pos="-720"/>
      </w:tabs>
    </w:pPr>
    <w:rPr>
      <w:spacing w:val="-3"/>
      <w:kern w:val="0"/>
      <w:sz w:val="24"/>
      <w:szCs w:val="20"/>
      <w:lang w:val="en-AU" w:eastAsia="en-US"/>
    </w:rPr>
  </w:style>
  <w:style w:type="paragraph" w:customStyle="1" w:styleId="201">
    <w:name w:val="目录 21"/>
    <w:basedOn w:val="1"/>
    <w:next w:val="1"/>
    <w:qFormat/>
    <w:uiPriority w:val="39"/>
    <w:pPr>
      <w:tabs>
        <w:tab w:val="right" w:leader="middleDot" w:pos="8460"/>
      </w:tabs>
      <w:spacing w:line="440" w:lineRule="exact"/>
    </w:pPr>
    <w:rPr>
      <w:sz w:val="24"/>
    </w:rPr>
  </w:style>
  <w:style w:type="paragraph" w:customStyle="1" w:styleId="202">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48</Pages>
  <Words>22699</Words>
  <Characters>23893</Characters>
  <Lines>207</Lines>
  <Paragraphs>58</Paragraphs>
  <TotalTime>1</TotalTime>
  <ScaleCrop>false</ScaleCrop>
  <LinksUpToDate>false</LinksUpToDate>
  <CharactersWithSpaces>25539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2012-02-28T06:46:00Z</dcterms:created>
  <dc:creator>USER</dc:creator>
  <cp:lastModifiedBy>hp</cp:lastModifiedBy>
  <cp:lastPrinted>2017-10-30T07:15:00Z</cp:lastPrinted>
  <dcterms:modified xsi:type="dcterms:W3CDTF">2023-03-21T06:20:01Z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C3521F5F24AE4CF1AB1AFF8A6778AAC7</vt:lpwstr>
  </property>
</Properties>
</file>